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44"/>
        </w:rPr>
      </w:pPr>
      <w:r>
        <w:rPr>
          <w:rFonts w:hint="eastAsia" w:ascii="黑体" w:eastAsia="黑体"/>
          <w:b/>
          <w:sz w:val="44"/>
        </w:rPr>
        <w:t>2021年</w:t>
      </w:r>
      <w:r>
        <w:rPr>
          <w:rFonts w:hint="eastAsia" w:ascii="黑体" w:eastAsia="黑体"/>
          <w:b/>
          <w:sz w:val="44"/>
          <w:lang w:eastAsia="zh-CN"/>
        </w:rPr>
        <w:t>单位</w:t>
      </w:r>
      <w:r>
        <w:rPr>
          <w:rFonts w:hint="eastAsia" w:ascii="黑体" w:eastAsia="黑体"/>
          <w:b/>
          <w:sz w:val="44"/>
        </w:rPr>
        <w:t>预算信息公开目录</w:t>
      </w:r>
    </w:p>
    <w:p>
      <w:pPr>
        <w:jc w:val="center"/>
        <w:outlineLvl w:val="0"/>
        <w:rPr>
          <w:rFonts w:hint="eastAsia" w:ascii="方正仿宋" w:hAnsi="方正仿宋" w:eastAsia="方正仿宋" w:cs="方正仿宋"/>
          <w:b/>
          <w:sz w:val="28"/>
          <w:szCs w:val="28"/>
        </w:rPr>
      </w:pPr>
    </w:p>
    <w:p>
      <w:pPr>
        <w:numPr>
          <w:ilvl w:val="0"/>
          <w:numId w:val="1"/>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霸州市水务局本级收支预算</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1</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霸州市水务局水利工程管理处收支预算</w:t>
      </w:r>
      <w:r>
        <w:rPr>
          <w:rFonts w:hint="default" w:ascii="Arial" w:hAnsi="Arial" w:eastAsia="仿宋" w:cs="Arial"/>
          <w:sz w:val="28"/>
          <w:szCs w:val="28"/>
          <w:lang w:val="en-US" w:eastAsia="zh-CN"/>
        </w:rPr>
        <w:t>……………………………………………………………………………</w:t>
      </w:r>
      <w:r>
        <w:rPr>
          <w:rFonts w:hint="eastAsia" w:ascii="Arial" w:hAnsi="Arial" w:eastAsia="仿宋" w:cs="Arial"/>
          <w:sz w:val="28"/>
          <w:szCs w:val="28"/>
          <w:lang w:val="en-US" w:eastAsia="zh-CN"/>
        </w:rPr>
        <w:t xml:space="preserve"> </w:t>
      </w:r>
      <w:r>
        <w:rPr>
          <w:rFonts w:hint="eastAsia" w:ascii="仿宋" w:hAnsi="仿宋" w:eastAsia="仿宋" w:cs="仿宋"/>
          <w:sz w:val="28"/>
          <w:szCs w:val="28"/>
          <w:lang w:val="en-US" w:eastAsia="zh-CN"/>
        </w:rPr>
        <w:t>68</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方正小标宋_GBK" w:eastAsia="方正小标宋_GBK"/>
          <w:sz w:val="44"/>
        </w:rPr>
      </w:pPr>
      <w:bookmarkStart w:id="0" w:name="_Toc65810289"/>
      <w:r>
        <w:rPr>
          <w:rFonts w:hint="eastAsia" w:ascii="方正小标宋_GBK" w:eastAsia="方正小标宋_GBK"/>
          <w:sz w:val="44"/>
          <w:lang w:val="en-US" w:eastAsia="zh-CN"/>
        </w:rPr>
        <w:t>霸州市水务局</w:t>
      </w:r>
      <w:r>
        <w:rPr>
          <w:rFonts w:hint="eastAsia" w:ascii="方正小标宋_GBK" w:eastAsia="方正小标宋_GBK"/>
          <w:sz w:val="44"/>
        </w:rPr>
        <w:t>本级收支预算</w:t>
      </w:r>
      <w:bookmarkEnd w:id="0"/>
    </w:p>
    <w:p>
      <w:pPr>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单位预算收支总表</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方正小标宋_GBK" w:eastAsia="方正小标宋_GBK"/>
          <w:sz w:val="44"/>
          <w:lang w:val="en-US"/>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1"/>
        <w:gridCol w:w="1800"/>
        <w:gridCol w:w="5083"/>
        <w:gridCol w:w="5181"/>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14146.65</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3882.64</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5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c>
          <w:tcPr>
            <w:tcW w:w="5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方正小标宋_GBK" w:eastAsia="方正小标宋_GBK"/>
          <w:sz w:val="44"/>
        </w:rPr>
      </w:pPr>
      <w:r>
        <w:rPr>
          <w:rFonts w:hint="eastAsia" w:ascii="宋体" w:hAnsi="宋体" w:eastAsia="宋体" w:cs="宋体"/>
          <w:b/>
          <w:i w:val="0"/>
          <w:color w:val="000000"/>
          <w:kern w:val="0"/>
          <w:sz w:val="43"/>
          <w:szCs w:val="43"/>
          <w:u w:val="none"/>
          <w:lang w:val="en-US" w:eastAsia="zh-CN" w:bidi="ar"/>
        </w:rPr>
        <w:t>单位预算收</w:t>
      </w:r>
      <w:r>
        <w:rPr>
          <w:rFonts w:hint="eastAsia" w:ascii="宋体" w:hAnsi="宋体" w:cs="宋体"/>
          <w:b/>
          <w:i w:val="0"/>
          <w:color w:val="000000"/>
          <w:kern w:val="0"/>
          <w:sz w:val="43"/>
          <w:szCs w:val="43"/>
          <w:u w:val="none"/>
          <w:lang w:val="en-US" w:eastAsia="zh-CN" w:bidi="ar"/>
        </w:rPr>
        <w:t>入</w:t>
      </w:r>
      <w:r>
        <w:rPr>
          <w:rFonts w:hint="eastAsia" w:ascii="宋体" w:hAnsi="宋体" w:eastAsia="宋体" w:cs="宋体"/>
          <w:b/>
          <w:i w:val="0"/>
          <w:color w:val="000000"/>
          <w:kern w:val="0"/>
          <w:sz w:val="43"/>
          <w:szCs w:val="43"/>
          <w:u w:val="none"/>
          <w:lang w:val="en-US" w:eastAsia="zh-CN" w:bidi="ar"/>
        </w:rPr>
        <w:t>总表</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方正小标宋_GBK" w:eastAsia="方正小标宋_GBK"/>
          <w:sz w:val="44"/>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7"/>
        <w:gridCol w:w="1260"/>
        <w:gridCol w:w="657"/>
        <w:gridCol w:w="1273"/>
        <w:gridCol w:w="1267"/>
        <w:gridCol w:w="1264"/>
        <w:gridCol w:w="1208"/>
        <w:gridCol w:w="402"/>
        <w:gridCol w:w="2433"/>
        <w:gridCol w:w="1267"/>
        <w:gridCol w:w="1114"/>
        <w:gridCol w:w="568"/>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1124.54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1124.54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1124.54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20822</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大中型水库移民后期扶持基金支出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20822201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移民补助</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行政单位事业医疗</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21213</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城市基础设施配套费安排的支出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2121399</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其他城市基础设施配套费安排的支出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2130302</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一般行政管理实务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2130304</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水利行业业务管理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8081.02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8081.02</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8081.02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2130308</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水利前期工作</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水资源节约管理与保护</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506.53</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2130316</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农村水利</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2130335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农村人畜饮水</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2130337</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南水北调工程管理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1089.74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1089.74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1089.74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方正小标宋_GBK" w:eastAsia="方正小标宋_GBK"/>
          <w:sz w:val="44"/>
        </w:rPr>
      </w:pPr>
      <w:r>
        <w:rPr>
          <w:rFonts w:hint="eastAsia" w:ascii="宋体" w:hAnsi="宋体" w:eastAsia="宋体" w:cs="宋体"/>
          <w:b/>
          <w:i w:val="0"/>
          <w:color w:val="000000"/>
          <w:kern w:val="0"/>
          <w:sz w:val="43"/>
          <w:szCs w:val="43"/>
          <w:u w:val="none"/>
          <w:lang w:val="en-US" w:eastAsia="zh-CN" w:bidi="ar"/>
        </w:rPr>
        <w:t>单位预算</w:t>
      </w:r>
      <w:r>
        <w:rPr>
          <w:rFonts w:hint="eastAsia" w:ascii="宋体" w:hAnsi="宋体" w:cs="宋体"/>
          <w:b/>
          <w:i w:val="0"/>
          <w:color w:val="000000"/>
          <w:kern w:val="0"/>
          <w:sz w:val="43"/>
          <w:szCs w:val="43"/>
          <w:u w:val="none"/>
          <w:lang w:val="en-US" w:eastAsia="zh-CN" w:bidi="ar"/>
        </w:rPr>
        <w:t>支出</w:t>
      </w:r>
      <w:r>
        <w:rPr>
          <w:rFonts w:hint="eastAsia" w:ascii="宋体" w:hAnsi="宋体" w:eastAsia="宋体" w:cs="宋体"/>
          <w:b/>
          <w:i w:val="0"/>
          <w:color w:val="000000"/>
          <w:kern w:val="0"/>
          <w:sz w:val="43"/>
          <w:szCs w:val="43"/>
          <w:u w:val="none"/>
          <w:lang w:val="en-US" w:eastAsia="zh-CN" w:bidi="ar"/>
        </w:rPr>
        <w:t>总表</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pPr w:leftFromText="180" w:rightFromText="180" w:vertAnchor="text" w:horzAnchor="page" w:tblpX="1258" w:tblpY="41"/>
        <w:tblOverlap w:val="never"/>
        <w:tblW w:w="14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7"/>
        <w:gridCol w:w="1711"/>
        <w:gridCol w:w="891"/>
        <w:gridCol w:w="1708"/>
        <w:gridCol w:w="3440"/>
        <w:gridCol w:w="1707"/>
        <w:gridCol w:w="1954"/>
        <w:gridCol w:w="1299"/>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2963.76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15065.53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1124.54</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大中型水库移民后期扶持基金支出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20822201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移民补助</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行政单位事业医疗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城市基础设施配套费安排的支出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2121399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其他城市基础设施配套费安排的支出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13003.45</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11182.89</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13003.45</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11182.89</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一般行政管理实务</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水利行业业务管理</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8081.02</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8081.02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水利前期工作</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719.38</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719.38</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水资源节约管理与保护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506.53</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农村水利</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2130335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农村人畜饮水</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2130337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南水北调工程管理</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1089.74</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1089.74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i w:val="0"/>
          <w:color w:val="000000"/>
          <w:kern w:val="0"/>
          <w:sz w:val="18"/>
          <w:szCs w:val="18"/>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单位预算财政拨款收支总表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jc w:val="both"/>
        <w:outlineLvl w:val="3"/>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pPr w:leftFromText="180" w:rightFromText="180" w:vertAnchor="text" w:horzAnchor="page" w:tblpX="1325" w:tblpY="143"/>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1"/>
        <w:gridCol w:w="1734"/>
        <w:gridCol w:w="1435"/>
        <w:gridCol w:w="5221"/>
        <w:gridCol w:w="1310"/>
        <w:gridCol w:w="1258"/>
        <w:gridCol w:w="1107"/>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10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14146.65</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3882.64</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1124.54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3880.00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18209.29</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18029.29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14146.65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3882.64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18209.29</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18209.29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14146.65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3882.64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i w:val="0"/>
          <w:color w:val="000000"/>
          <w:kern w:val="0"/>
          <w:sz w:val="18"/>
          <w:szCs w:val="18"/>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i w:val="0"/>
          <w:color w:val="000000"/>
          <w:kern w:val="0"/>
          <w:sz w:val="18"/>
          <w:szCs w:val="18"/>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单位预算一般公共预算财政拨款支出表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jc w:val="both"/>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pPr w:leftFromText="180" w:rightFromText="180" w:vertAnchor="text" w:horzAnchor="page" w:tblpXSpec="center" w:tblpY="143"/>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1"/>
        <w:gridCol w:w="1510"/>
        <w:gridCol w:w="784"/>
        <w:gridCol w:w="3018"/>
        <w:gridCol w:w="3428"/>
        <w:gridCol w:w="1328"/>
        <w:gridCol w:w="1149"/>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14146.65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2963.76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2801.36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1121.90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行政单位事业医疗</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1622.49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12967.78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1622.49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1784.89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1622.49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一般行政管理实务</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水利行业业务管理</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8081.02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2130308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水利前期工作</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水资源节约管理与保护</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防汛</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2130316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农村水利</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2130335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农村人畜饮水</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2130337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南水北调工程管理</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1089.74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i w:val="0"/>
          <w:color w:val="000000"/>
          <w:kern w:val="0"/>
          <w:sz w:val="18"/>
          <w:szCs w:val="18"/>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方正小标宋_GBK" w:eastAsia="方正小标宋_GBK"/>
          <w:sz w:val="44"/>
        </w:rPr>
      </w:pPr>
      <w:r>
        <w:rPr>
          <w:rFonts w:hint="eastAsia" w:ascii="宋体" w:hAnsi="宋体" w:eastAsia="宋体" w:cs="宋体"/>
          <w:b/>
          <w:i w:val="0"/>
          <w:color w:val="000000"/>
          <w:kern w:val="0"/>
          <w:sz w:val="43"/>
          <w:szCs w:val="43"/>
          <w:u w:val="none"/>
          <w:lang w:val="en-US" w:eastAsia="zh-CN" w:bidi="ar"/>
        </w:rPr>
        <w:t>单位预算一般公共预算财政拨款基本支出表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jc w:val="both"/>
        <w:textAlignment w:val="auto"/>
        <w:outlineLvl w:val="3"/>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pPr w:leftFromText="180" w:rightFromText="180" w:vertAnchor="text" w:horzAnchor="page" w:tblpXSpec="center" w:tblpY="226"/>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3"/>
        <w:gridCol w:w="1690"/>
        <w:gridCol w:w="880"/>
        <w:gridCol w:w="5066"/>
        <w:gridCol w:w="1612"/>
        <w:gridCol w:w="3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10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2963.76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2801.36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1681.26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1681.26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618.98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618.98</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99.65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99.65</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65.41</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机关事业单位职业年金缴纳</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城镇职工基本医疗保险缴费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236.54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236.54</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544.35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544.35</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1120.10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1120.10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医疗费补助</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45.39</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单位预算政府基金预算财政拨款支出表</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pPr w:leftFromText="180" w:rightFromText="180" w:vertAnchor="text" w:horzAnchor="page" w:tblpXSpec="center" w:tblpY="226"/>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3"/>
        <w:gridCol w:w="1690"/>
        <w:gridCol w:w="880"/>
        <w:gridCol w:w="5066"/>
        <w:gridCol w:w="1612"/>
        <w:gridCol w:w="3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10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2963.76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2801.36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1681.26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1681.26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618.98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618.98</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99.65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99.65</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65.41</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机关事业单位职业年金缴纳</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城镇职工基本医疗保险缴费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236.54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236.54</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35.67</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544.35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544.35</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1120.10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1120.10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1070.16</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医疗费补助</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45.39</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单位预算国有资本经营预算财政拨款支出表</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pPr w:leftFromText="180" w:rightFromText="180" w:vertAnchor="text" w:horzAnchor="page" w:tblpXSpec="center" w:tblpY="226"/>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2"/>
        <w:gridCol w:w="2720"/>
        <w:gridCol w:w="1418"/>
        <w:gridCol w:w="2721"/>
        <w:gridCol w:w="2722"/>
        <w:gridCol w:w="2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outlineLvl w:val="3"/>
        <w:rPr>
          <w:rFonts w:hint="eastAsia" w:ascii="宋体" w:hAnsi="宋体" w:eastAsia="宋体" w:cs="宋体"/>
          <w:b/>
          <w:i w:val="0"/>
          <w:color w:val="000000"/>
          <w:kern w:val="0"/>
          <w:sz w:val="43"/>
          <w:szCs w:val="43"/>
          <w:u w:val="none"/>
          <w:lang w:val="en-US" w:eastAsia="zh-CN" w:bidi="ar"/>
        </w:rPr>
      </w:pPr>
      <w:r>
        <w:rPr>
          <w:rFonts w:hint="eastAsia" w:ascii="仿宋" w:hAnsi="仿宋" w:eastAsia="仿宋" w:cs="仿宋"/>
          <w:i w:val="0"/>
          <w:color w:val="000000"/>
          <w:kern w:val="0"/>
          <w:sz w:val="24"/>
          <w:szCs w:val="24"/>
          <w:u w:val="none"/>
          <w:lang w:val="en-US" w:eastAsia="zh-CN" w:bidi="ar"/>
        </w:rPr>
        <w:t>注：无国有资本经营预算，空表列示</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单位预算财政拨款“三公”经费支出表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tLeast"/>
        <w:jc w:val="both"/>
        <w:textAlignment w:val="auto"/>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预算单位编码及名称：[709001]霸州市水务局本级</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pPr w:leftFromText="180" w:rightFromText="180" w:vertAnchor="text" w:horzAnchor="page" w:tblpXSpec="center" w:tblpY="226"/>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5"/>
        <w:gridCol w:w="2659"/>
        <w:gridCol w:w="2199"/>
        <w:gridCol w:w="3858"/>
        <w:gridCol w:w="245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02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jc w:val="both"/>
        <w:rPr>
          <w:rFonts w:hint="eastAsia" w:ascii="方正小标宋简体" w:hAnsi="Times New Roman" w:eastAsia="方正小标宋简体" w:cs="Times New Roman"/>
          <w:color w:val="auto"/>
          <w:sz w:val="44"/>
          <w:szCs w:val="44"/>
        </w:rPr>
      </w:pPr>
      <w:bookmarkStart w:id="1" w:name="RANGE!A1:AH10"/>
      <w:bookmarkEnd w:id="1"/>
    </w:p>
    <w:p>
      <w:pPr>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霸州市</w:t>
      </w:r>
      <w:r>
        <w:rPr>
          <w:rFonts w:hint="eastAsia" w:ascii="方正小标宋简体" w:hAnsi="Times New Roman" w:eastAsia="方正小标宋简体" w:cs="Times New Roman"/>
          <w:color w:val="auto"/>
          <w:sz w:val="44"/>
          <w:szCs w:val="44"/>
          <w:lang w:val="en-US" w:eastAsia="zh-CN"/>
        </w:rPr>
        <w:t>水务局</w:t>
      </w:r>
      <w:r>
        <w:rPr>
          <w:rFonts w:hint="eastAsia" w:ascii="方正小标宋简体" w:hAnsi="Times New Roman" w:eastAsia="方正小标宋简体" w:cs="Times New Roman"/>
          <w:color w:val="auto"/>
          <w:sz w:val="44"/>
          <w:szCs w:val="44"/>
        </w:rPr>
        <w:t>20</w:t>
      </w:r>
      <w:r>
        <w:rPr>
          <w:rFonts w:ascii="方正小标宋简体" w:hAnsi="Times New Roman" w:eastAsia="方正小标宋简体" w:cs="Times New Roman"/>
          <w:color w:val="auto"/>
          <w:sz w:val="44"/>
          <w:szCs w:val="44"/>
        </w:rPr>
        <w:t>2</w:t>
      </w:r>
      <w:r>
        <w:rPr>
          <w:rFonts w:hint="eastAsia" w:ascii="方正小标宋简体" w:hAnsi="Times New Roman" w:eastAsia="方正小标宋简体" w:cs="Times New Roman"/>
          <w:color w:val="auto"/>
          <w:sz w:val="44"/>
          <w:szCs w:val="44"/>
          <w:lang w:val="en-US" w:eastAsia="zh-CN"/>
        </w:rPr>
        <w:t>1</w:t>
      </w:r>
      <w:r>
        <w:rPr>
          <w:rFonts w:hint="eastAsia" w:ascii="方正小标宋简体" w:hAnsi="Times New Roman" w:eastAsia="方正小标宋简体" w:cs="Times New Roman"/>
          <w:color w:val="auto"/>
          <w:sz w:val="44"/>
          <w:szCs w:val="44"/>
        </w:rPr>
        <w:t>年</w:t>
      </w:r>
      <w:r>
        <w:rPr>
          <w:rFonts w:hint="eastAsia" w:ascii="方正小标宋简体" w:hAnsi="Times New Roman" w:eastAsia="方正小标宋简体" w:cs="Times New Roman"/>
          <w:color w:val="auto"/>
          <w:sz w:val="44"/>
          <w:szCs w:val="44"/>
          <w:lang w:val="en-US" w:eastAsia="zh-CN"/>
        </w:rPr>
        <w:t>单位</w:t>
      </w:r>
      <w:r>
        <w:rPr>
          <w:rFonts w:hint="eastAsia" w:ascii="方正小标宋简体" w:hAnsi="Times New Roman" w:eastAsia="方正小标宋简体" w:cs="Times New Roman"/>
          <w:color w:val="auto"/>
          <w:sz w:val="44"/>
          <w:szCs w:val="44"/>
        </w:rPr>
        <w:t>预算信息公开</w:t>
      </w:r>
    </w:p>
    <w:p>
      <w:pPr>
        <w:spacing w:line="584" w:lineRule="exact"/>
        <w:ind w:firstLine="640" w:firstLineChars="200"/>
        <w:rPr>
          <w:rFonts w:ascii="仿宋_GB2312" w:hAnsi="Times New Roman" w:eastAsia="仿宋_GB2312" w:cs="Times New Roman"/>
          <w:color w:val="auto"/>
          <w:sz w:val="32"/>
          <w:szCs w:val="32"/>
        </w:rPr>
      </w:pPr>
      <w:r>
        <w:rPr>
          <w:rFonts w:ascii="Times New Roman" w:hAnsi="Times New Roman" w:eastAsia="仿宋_GB2312" w:cs="Times New Roman"/>
          <w:color w:val="auto"/>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color w:val="auto"/>
          <w:sz w:val="32"/>
          <w:szCs w:val="32"/>
          <w:lang w:val="en-US" w:eastAsia="zh-CN"/>
        </w:rPr>
        <w:t>霸州市水务局</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21</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预算公开如下：</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w:t>
      </w:r>
      <w:r>
        <w:rPr>
          <w:rFonts w:hint="eastAsia" w:ascii="黑体" w:hAnsi="黑体" w:eastAsia="黑体" w:cs="Times New Roman"/>
          <w:color w:val="auto"/>
          <w:sz w:val="32"/>
          <w:szCs w:val="32"/>
          <w:lang w:val="en-US" w:eastAsia="zh-CN"/>
        </w:rPr>
        <w:t>单位</w:t>
      </w:r>
      <w:r>
        <w:rPr>
          <w:rFonts w:hint="eastAsia" w:ascii="黑体" w:hAnsi="黑体" w:eastAsia="黑体" w:cs="Times New Roman"/>
          <w:color w:val="auto"/>
          <w:sz w:val="32"/>
          <w:szCs w:val="32"/>
        </w:rPr>
        <w:t>职责及机构设置情况</w:t>
      </w:r>
    </w:p>
    <w:p>
      <w:pPr>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lang w:val="en-US" w:eastAsia="zh-CN"/>
        </w:rPr>
        <w:t>单位</w:t>
      </w:r>
      <w:r>
        <w:rPr>
          <w:rFonts w:hint="eastAsia" w:ascii="楷体_GB2312" w:hAnsi="Times New Roman" w:eastAsia="楷体_GB2312" w:cs="Times New Roman"/>
          <w:b/>
          <w:color w:val="auto"/>
          <w:sz w:val="32"/>
          <w:szCs w:val="32"/>
        </w:rPr>
        <w:t>职责：</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第一条 根据《中共廊坊市委、市政府关于印发的&lt;霸州市机构改革方案&gt;的通知》(廊办字[2018]72号)，制定本规定。</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第二条 霸州市水务局(简称市水务局)为市政府工作部门，机构规格正科级。不再保留霸州市南水北调工程建设委员会办公室。</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第三条 成立霸州市河长制办公室，设在市水务局，办公室主任由市水务局局长兼任，副主任2名，1名由市水务局副科级干部兼任，1名由市生态环境局副科级干部兼任。</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第四条 贯彻落实党中央、省委和市委关于水利工作的方针政策和市委的决策部署，坚持和加强党对水利工作的集中统一领导。主要职责是:</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(一)负责保障水资源的合理开发利用。拟订水利战略规划和政策，起草水利有关规范性文件，组织编制全市水资源战略规划、重要河道流域综合规划、防洪规划等水利规划。</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负责生活、生产经营和生态环境用水的统筹和协调。组织实施最严格水资源管理制度，实施水资源的统一监督管理，拟订全市水中长期供求规划、水量分配方案并监督实施，负责水资源调度。组织实施取水许可、水资源论证和防洪论证制度，指导开展水资源有偿使用工作。负责城区供水管理工作，指导农村供水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按规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(四)指导水资源保护工作。组织编制并实施水资源保护规划。指导地下水开发利用和地下水资源管理保护。组织指导地下水超采区综合治理。</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(五)负责节约用水工作。拟订节约用水政策，组织编制节约用水规划并监督实施，组织制定有关标准，组织实施用水总量控制等管理制度，指导和推动节水型社会建设工作。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(六)指导水利设施、水域及其岸线的管理、保护与综合利用。组织指导水利基础设施网络建设。指导河渠治理、开发和保护。指导河渠生态流量水量管理以及水系连通工作。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(七)指导监督水利工程建设与运行管理。组织实施具有控制性的和跨区域跨流域的重要水利工程建设与运行管理。组织并协调落实南水北调配套工程建设的有关工作，指导地方配套工程建设。</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(八)负责水土保持工作。拟订水土保持规划并监督实施，组织实施水土流失的综合防治。负责建设项目水土保持监督管理工作，指导重点水土保持建设项目的实施。</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(九)指导农村水利工作。组织开展大中型灌排工程建设与改造。指导农村饮水安全工程建设管理工作，指导节水灌溉有关工作。指导农村水利改革创新和社会化服务体系建设。</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(十)指导水库、水电工程移民管理工作。拟订水库、水电工程移民有关政策并监督实施，组织实施移民安置验收、监督评估等制度。指导监督水库移民后期扶持政策的实施。</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重大涉水违法事件的查处，协调和仲裁跨镇(区)水事纠纷，指导水政监察和水行政执法。依法负责水利行业安全生产工作，组织指导水库的安全监管。指导水利建设市场的监督管理，组织实施水利工程建设的监督。</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(十二)组织开展水利行业质量监督工作，对水利行业技术标准、规程规范的实施进行监督。开展水利科技工作。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三)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(十四)完成市委、市政府交办的其他任务。</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第五条 转变职能。市水务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第六条 市水务局设下列内设机构:</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办公室。负责机关日常运转工作，承担信息、安全、保密、信访、政务公开、信息化、新闻宣传等工作。负责机关和直属单位党群工作，负责纪检监察日常工作。负责离退休干部工作。编制部门预算并组织实施，承担财务管理和资产管理工作。组织提出市级水利财政资金安排建议，并统筹协调项目实施的监督管理和绩效评价。提出有关水利价格、税费、基金、信贷的建议。承担机关和直属单位的人事管理、机构编制、劳动工资、社会保险、教育培训工作。负责专业技术职务评聘、工人岗位技术等级培训考核工作。指导全市水利行业职工队伍建设。承办水利科技和水利涉外事务。</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水利工程建设和规计股。指导水利工程建设管理，组织制定并执行有关制度，对水利行业技术标准、规程规范的实施进行监督。组织实施具有控制性或跨镇(区)、跨流域的重要水利工程建设。组织指导水利工程蓄水安全鉴定和验收，指导主要行洪河道堤防、病险水闸的除险加固。指导水利建设市场的监督管理和水利建设市场信用体系建设。拟订全市水利发展规划，组织编制重大水利综合规划、专业规划和专项规划。负责组织审查全市大中型及重点水利建设项目建议书、可行性研究报告，按照规定权限负责组织审批初步设计报告。组织实施中央和省、市、县级水利建设投资计划，负责全市水利统计工作。负责县级水工程建设规划同意书、农村集体经济组织修建水库、不同行政区域边界水工程批准、水利水电建设项目环境影响报告书(表)预审等审批事项的事中事后监督管理工作。承担水库、水电工程移民管理和后期扶持工作，组织实施移民安置验收、监督评估等制度，审核水库、水电工程移民安置规划，组织开展新增水库移民后期扶持人口核定。</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水资源管理与节约用水办公室。承担实施最严格水资源管理制度相关工作，组织实施水资源取水许可、水资源论证等制度，开展水资源有偿使用工作。组织编制水资源保护规划。配合有关部门开展水资源调查、评价有关工作。配合有关部门制订水功能区划。拟订节约用水政策，组织编制并协调实施全市节约用水规划，组织指导计划用水、节约用水工作。组织实施用水总量控制、用水效率控制、计划用水和定额管理制度。指导和推动节水型社会建设工作。指导城市污水处理回用等非常规水源开发利用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农村水利与水土保持股。组织编制灌排工程发展规划，组织开展灌排工程建设与改造，组织指导农村饮水安全工程建设与管理工作，指导节水灌溉有关工作。指导农村水利社会化服务体系建设。承担水土流失综合防治工作，组织编制水土保持规划并监督实施，组织水土流失调查，负责生产建设项目水土保持监督管理工作。 </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政策法规办公室。起草水利有关规范性文件，研究拟订水利工作的政策并监督实施。指导水利行政许可工作并监督检查，承办行政应诉、行政复议和行政赔偿工作。负责水政监察和水行政执法，协调跨镇(区)水事纠纷，组织查处重大涉水违法事件。</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河渠与运行管理股。指导水利设施的管理、保护，安全鉴定和综合利用，组织编制水利设施安全管理应急预案。指导堤防、水闸等水利工程的运行管理与划界。指导水域及其岸线的管理与保护，指导河道开发，治理和保护、水系连通工作。负责城市建设填堵水域、废除围堤审核。监督管理河道采砂工作，指导河道采砂规划和计划的编制，组织指导河道管理范围内工程建设的监督管理工作。负责河道管理范围内有关活动(不含河道采砂)，利用堤顶，戗台兼做公路，坝顶兼做公路，在大坝管理和保护范围内修建码头，渔塘等行政审批事项的事中事后监督管理工作。</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(七)安全生产与质量监督股。指导和监督水务局安全生产工作，并配合市安全生产委员会完成各项工作任务。负责我市所有按照水利基建程序进行管理的水利质量监督工作，对建设项目实行全程质量监督。</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南水北调配套工程管理股。协调落实南水北调配套工程有关重大政策和措施。组织南水北调配套工程竣工财务决算、审计和工程验收有关工作。制定南水北调配套工程年度供水计划并组织调度实施。配合南水北调配套工程运行管理工作。组织开展市内南水北调配套工程前期和建设管理工作。指导受水区地方配套工程建设。</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水旱灾害防御和调水管理股。组织编制全市洪水干旱防治规划和防护标准、主要(含骨干)行洪河道的防御洪水抗御旱灾调度以及应急水量调度方案并组织实施。承担水情旱情预警工作。协调指导蓄滞洪区安全建设、蓄滞洪区安全管理和运用补偿工作。负责主要(含骨干)行洪河道、蓄滞洪区和防洪保护区的洪水影响评价行政审批事项的事中事后监督管理工作。负责蓄滞洪区避洪设施建设行政审批事项的事中事后监督管理工作。指导台风防御期间全市重要水利工程调度工作。承担跨区域跨流域水资源供需形势分析，指导水量调度工作并监督实施，统一组织并监督实施河流水量调度管理和生态补水等工作。负责制定实施引江、当地地表水年度利用计划。</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（十）河长办综合考核股。负责文电、会务等河长办日常运转工作；组织县级总河长、县级河长及县级责任单位联席会议；制定河长制度工作要点；组织实施河长制年度考核奖惩；组织河长制宣传工作等。</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（十一）河长办督察股。负责对县级总河长、县级河长督办事项进行督察，制定督查方案并组织实施河长制工作督导检查；负责对投诉举报事项和问题的督促整改；负责河长制信息管理平台建设和运行维护等。</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第七条 市水务局机关编制42名(行政编制16名，锁定事业编制26名)。股级领导职数15名，正股级11名，副股级4名。</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科级领导职数设置另行明确。</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第八条 市水务局所属事业单位的设置、职责和编制事项另行规定。</w:t>
      </w:r>
    </w:p>
    <w:p>
      <w:pPr>
        <w:spacing w:line="5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第九条 本规定具体解释工作由中共霸州市委机构编制委员会办公室承担，其调整由霸州市委机构编制委员会办公室按规定程序办理。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第十条 本规定自 2019 年3月24日起施行。</w:t>
      </w:r>
    </w:p>
    <w:p>
      <w:pPr>
        <w:ind w:firstLine="643" w:firstLineChars="200"/>
        <w:rPr>
          <w:rFonts w:hint="eastAsia" w:ascii="楷体_GB2312" w:hAnsi="Times New Roman" w:eastAsia="楷体_GB2312" w:cs="Times New Roman"/>
          <w:b/>
          <w:color w:val="auto"/>
          <w:sz w:val="32"/>
          <w:szCs w:val="32"/>
        </w:rPr>
      </w:pPr>
    </w:p>
    <w:p>
      <w:pPr>
        <w:autoSpaceDE w:val="0"/>
        <w:autoSpaceDN w:val="0"/>
        <w:adjustRightInd w:val="0"/>
        <w:ind w:firstLine="643" w:firstLineChars="200"/>
        <w:jc w:val="left"/>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hint="eastAsia" w:ascii="Times New Roman" w:hAnsi="Times New Roman" w:eastAsia="方正小标宋_GBK" w:cs="Times New Roman"/>
          <w:color w:val="auto"/>
          <w:sz w:val="32"/>
          <w:szCs w:val="24"/>
          <w:lang w:val="en-US" w:eastAsia="zh-CN"/>
        </w:rPr>
        <w:t>单位</w:t>
      </w:r>
      <w:r>
        <w:rPr>
          <w:rFonts w:hint="eastAsia" w:ascii="Times New Roman" w:hAnsi="Times New Roman" w:eastAsia="方正小标宋_GBK" w:cs="Times New Roman"/>
          <w:color w:val="auto"/>
          <w:sz w:val="32"/>
          <w:szCs w:val="24"/>
        </w:rPr>
        <w:t>机构设置情况</w:t>
      </w:r>
    </w:p>
    <w:tbl>
      <w:tblPr>
        <w:tblStyle w:val="4"/>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霸州市水务局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color w:val="auto"/>
                <w:szCs w:val="24"/>
              </w:rPr>
            </w:pPr>
            <w:r>
              <w:rPr>
                <w:rFonts w:hint="eastAsia" w:ascii="Times New Roman" w:hAnsi="Times New Roman" w:eastAsia="方正书宋_GBK" w:cs="Times New Roman"/>
                <w:color w:val="auto"/>
                <w:szCs w:val="24"/>
                <w:lang w:val="en-US" w:eastAsia="zh-CN"/>
              </w:rPr>
              <w:t>财政拨款</w:t>
            </w:r>
          </w:p>
        </w:tc>
      </w:tr>
    </w:tbl>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w:t>
      </w:r>
      <w:r>
        <w:rPr>
          <w:rFonts w:hint="eastAsia" w:ascii="黑体" w:hAnsi="黑体" w:eastAsia="黑体" w:cs="Times New Roman"/>
          <w:color w:val="auto"/>
          <w:sz w:val="32"/>
          <w:szCs w:val="32"/>
          <w:lang w:val="en-US" w:eastAsia="zh-CN"/>
        </w:rPr>
        <w:t>单位</w:t>
      </w:r>
      <w:r>
        <w:rPr>
          <w:rFonts w:hint="eastAsia" w:ascii="黑体" w:hAnsi="黑体" w:eastAsia="黑体" w:cs="Times New Roman"/>
          <w:color w:val="auto"/>
          <w:sz w:val="32"/>
          <w:szCs w:val="32"/>
        </w:rPr>
        <w:t>预算安排的总体情况</w:t>
      </w:r>
    </w:p>
    <w:p>
      <w:pPr>
        <w:spacing w:line="584"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按照预算管理有关规定，目前我市</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预算的编制实行综合预算制度，即全部收入和支出都反映在预算中。</w:t>
      </w: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反映本</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当年全部收入。20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年预算收入</w:t>
      </w:r>
      <w:r>
        <w:rPr>
          <w:rFonts w:hint="eastAsia" w:ascii="仿宋_GB2312" w:hAnsi="Times New Roman" w:eastAsia="仿宋_GB2312" w:cs="Times New Roman"/>
          <w:color w:val="auto"/>
          <w:sz w:val="32"/>
          <w:szCs w:val="32"/>
          <w:lang w:val="en-US" w:eastAsia="zh-CN"/>
        </w:rPr>
        <w:t>18029.29</w:t>
      </w:r>
      <w:r>
        <w:rPr>
          <w:rFonts w:hint="eastAsia" w:ascii="仿宋_GB2312" w:hAnsi="Times New Roman" w:eastAsia="仿宋_GB2312" w:cs="Times New Roman"/>
          <w:color w:val="auto"/>
          <w:sz w:val="32"/>
          <w:szCs w:val="32"/>
        </w:rPr>
        <w:t>万元，其中：一般公共预算收入</w:t>
      </w:r>
      <w:r>
        <w:rPr>
          <w:rFonts w:hint="eastAsia" w:ascii="仿宋_GB2312" w:hAnsi="Times New Roman" w:eastAsia="仿宋_GB2312" w:cs="Times New Roman"/>
          <w:color w:val="auto"/>
          <w:sz w:val="32"/>
          <w:szCs w:val="32"/>
          <w:lang w:val="en-US" w:eastAsia="zh-CN"/>
        </w:rPr>
        <w:t>14146.65</w:t>
      </w:r>
      <w:r>
        <w:rPr>
          <w:rFonts w:hint="eastAsia" w:ascii="仿宋_GB2312" w:hAnsi="Times New Roman" w:eastAsia="仿宋_GB2312" w:cs="Times New Roman"/>
          <w:color w:val="auto"/>
          <w:sz w:val="32"/>
          <w:szCs w:val="32"/>
        </w:rPr>
        <w:t>万元，政府性基金预算收入</w:t>
      </w:r>
      <w:r>
        <w:rPr>
          <w:rFonts w:hint="eastAsia" w:ascii="仿宋_GB2312" w:hAnsi="Times New Roman" w:eastAsia="仿宋_GB2312" w:cs="Times New Roman"/>
          <w:color w:val="auto"/>
          <w:sz w:val="32"/>
          <w:szCs w:val="32"/>
          <w:lang w:val="en-US" w:eastAsia="zh-CN"/>
        </w:rPr>
        <w:t>3882.64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，国有资本经营</w:t>
      </w:r>
      <w:r>
        <w:rPr>
          <w:rFonts w:ascii="仿宋_GB2312" w:hAnsi="Times New Roman" w:eastAsia="仿宋_GB2312" w:cs="Times New Roman"/>
          <w:color w:val="auto"/>
          <w:sz w:val="32"/>
          <w:szCs w:val="32"/>
        </w:rPr>
        <w:t>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上年结转0万元。</w:t>
      </w:r>
    </w:p>
    <w:p>
      <w:pPr>
        <w:ind w:firstLine="640"/>
        <w:rPr>
          <w:rFonts w:ascii="仿宋_GB2312" w:hAnsi="Times New Roman" w:eastAsia="仿宋_GB2312" w:cs="Times New Roman"/>
          <w:b/>
          <w:color w:val="auto"/>
          <w:sz w:val="32"/>
          <w:szCs w:val="32"/>
        </w:rPr>
      </w:pP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2、支出说明</w:t>
      </w:r>
    </w:p>
    <w:p>
      <w:pPr>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lang w:val="en-US" w:eastAsia="zh-CN"/>
        </w:rPr>
        <w:t>水务局</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年度</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预算中支出预算的总体情况。20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支出预算</w:t>
      </w:r>
      <w:r>
        <w:rPr>
          <w:rFonts w:hint="eastAsia" w:ascii="仿宋_GB2312" w:hAnsi="Times New Roman" w:eastAsia="仿宋_GB2312" w:cs="Times New Roman"/>
          <w:color w:val="auto"/>
          <w:sz w:val="32"/>
          <w:szCs w:val="32"/>
          <w:lang w:val="en-US" w:eastAsia="zh-CN"/>
        </w:rPr>
        <w:t>18029.29</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2963.76</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2801.36</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162.40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15065.53</w:t>
      </w:r>
      <w:r>
        <w:rPr>
          <w:rFonts w:hint="eastAsia" w:ascii="仿宋_GB2312" w:hAnsi="Times New Roman" w:eastAsia="仿宋_GB2312" w:cs="Times New Roman"/>
          <w:color w:val="auto"/>
          <w:sz w:val="32"/>
          <w:szCs w:val="32"/>
        </w:rPr>
        <w:t>万元，全部为本级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color w:val="auto"/>
          <w:sz w:val="32"/>
          <w:szCs w:val="32"/>
          <w:lang w:val="en-US" w:eastAsia="zh-CN"/>
        </w:rPr>
        <w:t>防汛资金、河道管理范围内复核划定资金</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南水北调水费</w:t>
      </w:r>
      <w:r>
        <w:rPr>
          <w:rFonts w:hint="eastAsia" w:ascii="仿宋_GB2312" w:hAnsi="Times New Roman" w:eastAsia="仿宋_GB2312" w:cs="Times New Roman"/>
          <w:color w:val="auto"/>
          <w:sz w:val="32"/>
          <w:szCs w:val="32"/>
        </w:rPr>
        <w:t>等；上缴上级支出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ascii="仿宋_GB2312" w:hAnsi="Times New Roman" w:eastAsia="仿宋_GB2312" w:cs="Times New Roman"/>
          <w:color w:val="auto"/>
          <w:sz w:val="32"/>
          <w:szCs w:val="32"/>
        </w:rPr>
        <w:t>经营支出</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对附属单位补助支出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3、比上年增减情况</w:t>
      </w:r>
    </w:p>
    <w:p>
      <w:pPr>
        <w:ind w:firstLine="640"/>
        <w:rPr>
          <w:rFonts w:ascii="仿宋_GB2312" w:hAnsi="黑体" w:eastAsia="仿宋_GB2312" w:cs="Times New Roman"/>
          <w:color w:val="auto"/>
          <w:sz w:val="32"/>
          <w:szCs w:val="32"/>
        </w:rPr>
      </w:pP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年预算收支安排</w:t>
      </w:r>
      <w:r>
        <w:rPr>
          <w:rFonts w:hint="eastAsia" w:ascii="仿宋_GB2312" w:hAnsi="Times New Roman" w:eastAsia="仿宋_GB2312" w:cs="Times New Roman"/>
          <w:color w:val="auto"/>
          <w:sz w:val="32"/>
          <w:szCs w:val="32"/>
          <w:lang w:val="en-US" w:eastAsia="zh-CN"/>
        </w:rPr>
        <w:t>18029.29</w:t>
      </w:r>
      <w:r>
        <w:rPr>
          <w:rFonts w:hint="eastAsia" w:ascii="仿宋_GB2312" w:hAnsi="Times New Roman" w:eastAsia="仿宋_GB2312" w:cs="Times New Roman"/>
          <w:color w:val="auto"/>
          <w:sz w:val="32"/>
          <w:szCs w:val="32"/>
        </w:rPr>
        <w:t>万元，较20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rPr>
        <w:t>预算</w:t>
      </w:r>
      <w:r>
        <w:rPr>
          <w:rFonts w:hint="eastAsia" w:ascii="仿宋_GB2312" w:hAnsi="Times New Roman" w:eastAsia="仿宋_GB2312" w:cs="Times New Roman"/>
          <w:color w:val="auto"/>
          <w:sz w:val="32"/>
          <w:szCs w:val="32"/>
          <w:lang w:val="en-US" w:eastAsia="zh-CN"/>
        </w:rPr>
        <w:t>增加13376.37</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增加189.42</w:t>
      </w:r>
      <w:r>
        <w:rPr>
          <w:rFonts w:hint="eastAsia" w:ascii="仿宋_GB2312" w:hAnsi="Times New Roman" w:eastAsia="仿宋_GB2312" w:cs="Times New Roman"/>
          <w:color w:val="auto"/>
          <w:sz w:val="32"/>
          <w:szCs w:val="32"/>
        </w:rPr>
        <w:t>万元，主要为</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auto"/>
          <w:sz w:val="32"/>
          <w:szCs w:val="32"/>
          <w:highlight w:val="none"/>
          <w:lang w:val="en-US" w:eastAsia="zh-CN"/>
        </w:rPr>
        <w:t>人员经费和日常公用经费支出</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增加13186.95</w:t>
      </w:r>
      <w:r>
        <w:rPr>
          <w:rFonts w:hint="eastAsia" w:ascii="仿宋_GB2312" w:hAnsi="Times New Roman" w:eastAsia="仿宋_GB2312" w:cs="Times New Roman"/>
          <w:color w:val="auto"/>
          <w:sz w:val="32"/>
          <w:szCs w:val="32"/>
        </w:rPr>
        <w:t>万元，主要为</w:t>
      </w:r>
      <w:r>
        <w:rPr>
          <w:rFonts w:hint="eastAsia" w:ascii="仿宋_GB2312" w:hAnsi="Times New Roman" w:eastAsia="仿宋_GB2312" w:cs="Times New Roman"/>
          <w:color w:val="auto"/>
          <w:sz w:val="32"/>
          <w:szCs w:val="32"/>
          <w:lang w:val="en-US" w:eastAsia="zh-CN"/>
        </w:rPr>
        <w:t>防汛资金、南水北调水费</w:t>
      </w:r>
      <w:r>
        <w:rPr>
          <w:rFonts w:hint="eastAsia" w:ascii="仿宋_GB2312" w:hAnsi="Times New Roman" w:eastAsia="仿宋_GB2312" w:cs="Times New Roman"/>
          <w:color w:val="auto"/>
          <w:sz w:val="32"/>
          <w:szCs w:val="32"/>
        </w:rPr>
        <w:t>项目支出。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2021年，我单位</w:t>
      </w:r>
      <w:r>
        <w:rPr>
          <w:rFonts w:hint="eastAsia" w:ascii="仿宋_GB2312" w:hAnsi="Times New Roman" w:eastAsia="仿宋_GB2312" w:cs="Times New Roman"/>
          <w:color w:val="auto"/>
          <w:sz w:val="32"/>
          <w:szCs w:val="32"/>
        </w:rPr>
        <w:t>运行经费共计安排</w:t>
      </w:r>
      <w:r>
        <w:rPr>
          <w:rFonts w:hint="eastAsia" w:ascii="仿宋_GB2312" w:hAnsi="Times New Roman" w:eastAsia="仿宋_GB2312" w:cs="Times New Roman"/>
          <w:color w:val="auto"/>
          <w:sz w:val="32"/>
          <w:szCs w:val="32"/>
          <w:lang w:val="en-US" w:eastAsia="zh-CN"/>
        </w:rPr>
        <w:t>162.40</w:t>
      </w:r>
      <w:r>
        <w:rPr>
          <w:rFonts w:hint="eastAsia" w:ascii="仿宋_GB2312" w:hAnsi="Times New Roman" w:eastAsia="仿宋_GB2312" w:cs="Times New Roman"/>
          <w:color w:val="auto"/>
          <w:sz w:val="32"/>
          <w:szCs w:val="32"/>
        </w:rPr>
        <w:t>万元，主要用于办公区的日常维修、办公用房水电费、办公用房取暖费、办公及印刷费，邮电费、差旅费、</w:t>
      </w:r>
      <w:bookmarkStart w:id="5" w:name="_GoBack"/>
      <w:bookmarkEnd w:id="5"/>
      <w:r>
        <w:rPr>
          <w:rFonts w:hint="eastAsia" w:ascii="仿宋_GB2312" w:hAnsi="Times New Roman" w:eastAsia="仿宋_GB2312" w:cs="Times New Roman"/>
          <w:color w:val="auto"/>
          <w:sz w:val="32"/>
          <w:szCs w:val="32"/>
        </w:rPr>
        <w:t>福利费、一般设备购置费、办公用房物业管理费、</w:t>
      </w:r>
      <w:r>
        <w:rPr>
          <w:rFonts w:hint="eastAsia" w:ascii="仿宋_GB2312" w:hAnsi="Times New Roman" w:eastAsia="仿宋_GB2312" w:cs="Times New Roman"/>
          <w:color w:val="auto"/>
          <w:sz w:val="32"/>
          <w:szCs w:val="32"/>
          <w:lang w:val="en-US" w:eastAsia="zh-CN"/>
        </w:rPr>
        <w:t>网络运行维护费、</w:t>
      </w:r>
      <w:r>
        <w:rPr>
          <w:rFonts w:hint="eastAsia" w:ascii="仿宋_GB2312" w:hAnsi="Times New Roman" w:eastAsia="仿宋_GB2312" w:cs="Times New Roman"/>
          <w:color w:val="auto"/>
          <w:sz w:val="32"/>
          <w:szCs w:val="32"/>
        </w:rPr>
        <w:t>公务用车运行维护费等日常运行支出。</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“三公”经费预算安排</w:t>
      </w:r>
      <w:r>
        <w:rPr>
          <w:rFonts w:hint="eastAsia" w:ascii="仿宋_GB2312" w:hAnsi="Times New Roman" w:eastAsia="仿宋_GB2312" w:cs="Times New Roman"/>
          <w:color w:val="auto"/>
          <w:sz w:val="32"/>
          <w:szCs w:val="32"/>
          <w:lang w:val="en-US" w:eastAsia="zh-CN"/>
        </w:rPr>
        <w:t>8.00</w:t>
      </w:r>
      <w:r>
        <w:rPr>
          <w:rFonts w:hint="eastAsia" w:ascii="仿宋_GB2312" w:hAnsi="Times New Roman" w:eastAsia="仿宋_GB2312" w:cs="Times New Roman"/>
          <w:color w:val="auto"/>
          <w:sz w:val="32"/>
          <w:szCs w:val="32"/>
        </w:rPr>
        <w:t>万元，其中：因公出国（境）费</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万元；公务用车购置及运维费</w:t>
      </w:r>
      <w:r>
        <w:rPr>
          <w:rFonts w:hint="eastAsia" w:ascii="仿宋_GB2312" w:hAnsi="Times New Roman" w:eastAsia="仿宋_GB2312" w:cs="Times New Roman"/>
          <w:color w:val="auto"/>
          <w:sz w:val="32"/>
          <w:szCs w:val="32"/>
          <w:lang w:val="en-US" w:eastAsia="zh-CN"/>
        </w:rPr>
        <w:t>7.50</w:t>
      </w:r>
      <w:r>
        <w:rPr>
          <w:rFonts w:hint="eastAsia" w:ascii="仿宋_GB2312" w:hAnsi="Times New Roman" w:eastAsia="仿宋_GB2312" w:cs="Times New Roman"/>
          <w:color w:val="auto"/>
          <w:sz w:val="32"/>
          <w:szCs w:val="32"/>
        </w:rPr>
        <w:t>万元（其中：公务用车购置费</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万元，公务用车运行维护费</w:t>
      </w:r>
      <w:r>
        <w:rPr>
          <w:rFonts w:hint="eastAsia" w:ascii="仿宋_GB2312" w:hAnsi="Times New Roman" w:eastAsia="仿宋_GB2312" w:cs="Times New Roman"/>
          <w:color w:val="auto"/>
          <w:sz w:val="32"/>
          <w:szCs w:val="32"/>
          <w:lang w:val="en-US" w:eastAsia="zh-CN"/>
        </w:rPr>
        <w:t>7.50</w:t>
      </w:r>
      <w:r>
        <w:rPr>
          <w:rFonts w:hint="eastAsia" w:ascii="仿宋_GB2312" w:hAnsi="Times New Roman" w:eastAsia="仿宋_GB2312" w:cs="Times New Roman"/>
          <w:color w:val="auto"/>
          <w:sz w:val="32"/>
          <w:szCs w:val="32"/>
        </w:rPr>
        <w:t>万元)；公务接待费</w:t>
      </w:r>
      <w:r>
        <w:rPr>
          <w:rFonts w:hint="eastAsia" w:ascii="仿宋_GB2312" w:hAnsi="Times New Roman" w:eastAsia="仿宋_GB2312" w:cs="Times New Roman"/>
          <w:color w:val="auto"/>
          <w:sz w:val="32"/>
          <w:szCs w:val="32"/>
          <w:lang w:val="en-US" w:eastAsia="zh-CN"/>
        </w:rPr>
        <w:t>0.50</w:t>
      </w:r>
      <w:r>
        <w:rPr>
          <w:rFonts w:hint="eastAsia" w:ascii="仿宋_GB2312" w:hAnsi="Times New Roman" w:eastAsia="仿宋_GB2312" w:cs="Times New Roman"/>
          <w:color w:val="auto"/>
          <w:sz w:val="32"/>
          <w:szCs w:val="32"/>
        </w:rPr>
        <w:t>万元，较20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rPr>
        <w:t>年“三公”经费</w:t>
      </w:r>
      <w:r>
        <w:rPr>
          <w:rFonts w:hint="eastAsia" w:ascii="仿宋_GB2312" w:hAnsi="Times New Roman" w:eastAsia="仿宋_GB2312" w:cs="Times New Roman"/>
          <w:color w:val="auto"/>
          <w:sz w:val="32"/>
          <w:szCs w:val="32"/>
          <w:lang w:val="en-US" w:eastAsia="zh-CN"/>
        </w:rPr>
        <w:t>减少0.01</w:t>
      </w:r>
      <w:r>
        <w:rPr>
          <w:rFonts w:hint="eastAsia" w:ascii="仿宋_GB2312" w:hAnsi="Times New Roman" w:eastAsia="仿宋_GB2312" w:cs="Times New Roman"/>
          <w:color w:val="auto"/>
          <w:sz w:val="32"/>
          <w:szCs w:val="32"/>
        </w:rPr>
        <w:t>万元，主要是因为</w:t>
      </w:r>
      <w:r>
        <w:rPr>
          <w:rFonts w:hint="eastAsia" w:ascii="仿宋_GB2312" w:hAnsi="Times New Roman" w:eastAsia="仿宋_GB2312" w:cs="Times New Roman"/>
          <w:color w:val="auto"/>
          <w:sz w:val="32"/>
          <w:szCs w:val="32"/>
          <w:lang w:val="en-US" w:eastAsia="zh-CN"/>
        </w:rPr>
        <w:t>减少了业务往来接待费支出</w:t>
      </w:r>
      <w:r>
        <w:rPr>
          <w:rFonts w:hint="eastAsia" w:ascii="仿宋_GB2312" w:hAnsi="Times New Roman" w:eastAsia="仿宋_GB2312" w:cs="Times New Roman"/>
          <w:color w:val="auto"/>
          <w:sz w:val="32"/>
          <w:szCs w:val="32"/>
        </w:rPr>
        <w:t>。</w:t>
      </w:r>
    </w:p>
    <w:p>
      <w:pPr>
        <w:numPr>
          <w:ilvl w:val="0"/>
          <w:numId w:val="3"/>
        </w:numPr>
        <w:ind w:firstLine="640" w:firstLineChars="200"/>
        <w:rPr>
          <w:rFonts w:hint="eastAsia" w:ascii="黑体" w:hAnsi="黑体" w:eastAsia="黑体" w:cs="Times New Roman"/>
          <w:color w:val="auto"/>
          <w:sz w:val="32"/>
          <w:szCs w:val="32"/>
        </w:rPr>
      </w:pPr>
      <w:r>
        <w:rPr>
          <w:rFonts w:hint="eastAsia" w:ascii="黑体" w:hAnsi="黑体" w:eastAsia="黑体" w:cs="Times New Roman"/>
          <w:color w:val="auto"/>
          <w:sz w:val="32"/>
          <w:szCs w:val="32"/>
        </w:rPr>
        <w:t>预算绩效信息</w:t>
      </w:r>
    </w:p>
    <w:p>
      <w:pPr>
        <w:numPr>
          <w:ilvl w:val="0"/>
          <w:numId w:val="4"/>
        </w:numPr>
        <w:autoSpaceDE w:val="0"/>
        <w:autoSpaceDN w:val="0"/>
        <w:adjustRightInd w:val="0"/>
        <w:ind w:firstLine="643" w:firstLineChars="200"/>
        <w:jc w:val="left"/>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lang w:val="en-US" w:eastAsia="zh-CN"/>
        </w:rPr>
        <w:t>单位</w:t>
      </w:r>
      <w:r>
        <w:rPr>
          <w:rFonts w:hint="eastAsia" w:ascii="楷体_GB2312" w:hAnsi="Times New Roman" w:eastAsia="楷体_GB2312" w:cs="Times New Roman"/>
          <w:b/>
          <w:color w:val="auto"/>
          <w:sz w:val="32"/>
          <w:szCs w:val="32"/>
        </w:rPr>
        <w:t>整体绩效</w:t>
      </w:r>
      <w:r>
        <w:rPr>
          <w:rFonts w:ascii="楷体_GB2312" w:hAnsi="Times New Roman" w:eastAsia="楷体_GB2312" w:cs="Times New Roman"/>
          <w:b/>
          <w:color w:val="auto"/>
          <w:sz w:val="32"/>
          <w:szCs w:val="32"/>
        </w:rPr>
        <w:t>目标</w:t>
      </w:r>
    </w:p>
    <w:p>
      <w:pPr>
        <w:ind w:firstLine="640" w:firstLineChars="200"/>
        <w:rPr>
          <w:rFonts w:hint="eastAsia" w:ascii="仿宋" w:hAnsi="仿宋" w:eastAsia="仿宋" w:cs="仿宋"/>
          <w:color w:val="auto"/>
          <w:sz w:val="32"/>
          <w:szCs w:val="32"/>
        </w:rPr>
      </w:pPr>
      <w:r>
        <w:rPr>
          <w:rFonts w:hint="eastAsia" w:ascii="仿宋_GB2312" w:hAnsi="Times New Roman" w:eastAsia="仿宋_GB2312" w:cs="Times New Roman"/>
          <w:color w:val="auto"/>
          <w:sz w:val="32"/>
          <w:szCs w:val="32"/>
        </w:rPr>
        <w:t>（一）</w:t>
      </w:r>
      <w:r>
        <w:rPr>
          <w:rFonts w:hint="eastAsia" w:ascii="仿宋" w:hAnsi="仿宋" w:eastAsia="仿宋" w:cs="仿宋"/>
          <w:color w:val="auto"/>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olor w:val="auto"/>
          <w:sz w:val="32"/>
        </w:rPr>
      </w:pPr>
      <w:r>
        <w:rPr>
          <w:rFonts w:ascii="仿宋" w:hAnsi="仿宋" w:eastAsia="仿宋"/>
          <w:color w:val="auto"/>
          <w:sz w:val="32"/>
        </w:rPr>
        <w:t>2021年，市水务局将以习近平新时代中国特色社会主义思想为指导，贯穿学习实践习近平总书记治水重要论述精神，坚持新发展理念，坚持推动高质量发展，认真落实市委、市政府及上级水务部门的工作部署，加大地下水管理，违规取水处理率100%；用足用好引江水，公共供水11.12万吨/日；深入落实河长制，全年开展河长制宣传19次；充分发挥农村安饮效益，完成农村饮水工程维修养护21处；推动重点水利工程建设，拆除重建杨芬港、丁家堡泵站2座；增强水旱灾害防御能力，汛前检查河道4条，大中型水闸6座；加强水利工程管理处日常维修养护，期间对13座扬水站，12座节制闸进行零件更换，全力推进本市水务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1、进一步加大地下水管理力度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做好加快工业节水减排、加强城镇节水降损、增加非常规水利用、扩大企业引江水直供范围、推进农村集中供水水源替换等方面工作，提高霸州市水资源监控水平，增强霸州市非农取用水户取用水量的在线监控能力，增强节水意识，减少开采水量，降低项目总用水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shd w:val="clear" w:color="auto" w:fill="D9D9D9"/>
          <w:lang w:val="en-US" w:eastAsia="zh-CN"/>
        </w:rPr>
      </w:pPr>
      <w:r>
        <w:rPr>
          <w:rFonts w:hint="eastAsia" w:ascii="仿宋" w:hAnsi="仿宋" w:eastAsia="仿宋" w:cs="仿宋"/>
          <w:color w:val="auto"/>
          <w:sz w:val="32"/>
          <w:szCs w:val="32"/>
          <w:lang w:val="en-US" w:eastAsia="zh-CN"/>
        </w:rPr>
        <w:t>绩效指标：农业压采16万m³，市压采731万m³，违规取水处理率100%。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2、用足用好引江水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绩效目标：加速配套管网建设，做好企业直供水工作，完成农村生活水源江水置换项目建设，多渠道进行生态用水，积极开展农村水源替换工作。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w:t>
      </w:r>
      <w:r>
        <w:rPr>
          <w:rFonts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引江水年度消纳</w:t>
      </w:r>
      <w:r>
        <w:rPr>
          <w:rFonts w:ascii="仿宋" w:hAnsi="仿宋" w:eastAsia="仿宋" w:cs="仿宋"/>
          <w:color w:val="auto"/>
          <w:sz w:val="32"/>
          <w:szCs w:val="32"/>
          <w:lang w:val="en-US" w:eastAsia="zh-CN"/>
        </w:rPr>
        <w:t>4055.80</w:t>
      </w:r>
      <w:r>
        <w:rPr>
          <w:rFonts w:hint="eastAsia" w:ascii="仿宋" w:hAnsi="仿宋" w:eastAsia="仿宋" w:cs="仿宋"/>
          <w:color w:val="auto"/>
          <w:sz w:val="32"/>
          <w:szCs w:val="32"/>
          <w:lang w:val="en-US" w:eastAsia="zh-CN"/>
        </w:rPr>
        <w:t>万吨，公共供水</w:t>
      </w:r>
      <w:r>
        <w:rPr>
          <w:rFonts w:ascii="仿宋" w:hAnsi="仿宋" w:eastAsia="仿宋" w:cs="仿宋"/>
          <w:color w:val="auto"/>
          <w:sz w:val="32"/>
          <w:szCs w:val="32"/>
          <w:lang w:val="en-US" w:eastAsia="zh-CN"/>
        </w:rPr>
        <w:t>11.12</w:t>
      </w:r>
      <w:r>
        <w:rPr>
          <w:rFonts w:hint="eastAsia" w:ascii="仿宋" w:hAnsi="仿宋" w:eastAsia="仿宋" w:cs="仿宋"/>
          <w:color w:val="auto"/>
          <w:sz w:val="32"/>
          <w:szCs w:val="32"/>
          <w:lang w:val="en-US" w:eastAsia="zh-CN"/>
        </w:rPr>
        <w:t>万吨</w:t>
      </w:r>
      <w:r>
        <w:rPr>
          <w:rFonts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3、深入落实河长制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736"/>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促进河长制工作向机制健全、责任清晰、管理规范、监管明确、考核严格、保障有力的方向发展，强化综合治理采取的成效以及河湖优美生态环境面貌。为维护河渠健康生命、实现河渠功能永续利用提供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firstLine="640"/>
        <w:jc w:val="left"/>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绩效指标：通过人工、无人机航拍巡查河渠数</w:t>
      </w:r>
      <w:r>
        <w:rPr>
          <w:rFonts w:ascii="仿宋" w:hAnsi="仿宋" w:eastAsia="仿宋" w:cs="仿宋"/>
          <w:color w:val="auto"/>
          <w:sz w:val="32"/>
          <w:szCs w:val="32"/>
          <w:lang w:val="en-US" w:eastAsia="zh-CN"/>
        </w:rPr>
        <w:t>19</w:t>
      </w:r>
      <w:r>
        <w:rPr>
          <w:rFonts w:hint="eastAsia" w:ascii="仿宋" w:hAnsi="仿宋" w:eastAsia="仿宋" w:cs="仿宋"/>
          <w:color w:val="auto"/>
          <w:sz w:val="32"/>
          <w:szCs w:val="32"/>
          <w:lang w:val="en-US" w:eastAsia="zh-CN"/>
        </w:rPr>
        <w:t>条，全程</w:t>
      </w:r>
      <w:r>
        <w:rPr>
          <w:rFonts w:ascii="仿宋" w:hAnsi="仿宋" w:eastAsia="仿宋" w:cs="仿宋"/>
          <w:color w:val="auto"/>
          <w:sz w:val="32"/>
          <w:szCs w:val="32"/>
          <w:lang w:val="en-US" w:eastAsia="zh-CN"/>
        </w:rPr>
        <w:t>234.60</w:t>
      </w:r>
      <w:r>
        <w:rPr>
          <w:rFonts w:hint="eastAsia" w:ascii="仿宋" w:hAnsi="仿宋" w:eastAsia="仿宋" w:cs="仿宋"/>
          <w:color w:val="auto"/>
          <w:sz w:val="32"/>
          <w:szCs w:val="32"/>
          <w:lang w:val="en-US" w:eastAsia="zh-CN"/>
        </w:rPr>
        <w:t>公里，开展河长制户外宣传活动</w:t>
      </w:r>
      <w:r>
        <w:rPr>
          <w:rFonts w:ascii="仿宋" w:hAnsi="仿宋" w:eastAsia="仿宋" w:cs="仿宋"/>
          <w:color w:val="auto"/>
          <w:sz w:val="32"/>
          <w:szCs w:val="32"/>
          <w:lang w:val="en-US" w:eastAsia="zh-CN"/>
        </w:rPr>
        <w:t>19</w:t>
      </w:r>
      <w:r>
        <w:rPr>
          <w:rFonts w:hint="eastAsia" w:ascii="仿宋" w:hAnsi="仿宋" w:eastAsia="仿宋" w:cs="仿宋"/>
          <w:color w:val="auto"/>
          <w:sz w:val="32"/>
          <w:szCs w:val="32"/>
          <w:lang w:val="en-US" w:eastAsia="zh-CN"/>
        </w:rPr>
        <w:t>次，维修更新公示牌</w:t>
      </w:r>
      <w:r>
        <w:rPr>
          <w:rFonts w:ascii="仿宋" w:hAnsi="仿宋" w:eastAsia="仿宋" w:cs="仿宋"/>
          <w:color w:val="auto"/>
          <w:sz w:val="32"/>
          <w:szCs w:val="32"/>
          <w:lang w:val="en-US" w:eastAsia="zh-CN"/>
        </w:rPr>
        <w:t>212</w:t>
      </w:r>
      <w:r>
        <w:rPr>
          <w:rFonts w:hint="eastAsia" w:ascii="仿宋" w:hAnsi="仿宋" w:eastAsia="仿宋" w:cs="仿宋"/>
          <w:color w:val="auto"/>
          <w:sz w:val="32"/>
          <w:szCs w:val="32"/>
          <w:lang w:val="en-US" w:eastAsia="zh-CN"/>
        </w:rPr>
        <w:t>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lang w:val="en-US" w:eastAsia="zh-CN"/>
        </w:rPr>
        <w:t>4、充分发挥农村安饮效益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绩效目标：对现运行的水厂进行维修养护，</w:t>
      </w:r>
      <w:r>
        <w:rPr>
          <w:rFonts w:hint="eastAsia" w:ascii="新宋体" w:hAnsi="新宋体" w:eastAsia="新宋体" w:cs="新宋体"/>
          <w:color w:val="auto"/>
          <w:sz w:val="32"/>
          <w:szCs w:val="32"/>
          <w:lang w:val="en-US" w:eastAsia="zh-CN"/>
        </w:rPr>
        <w:t>解决</w:t>
      </w:r>
      <w:r>
        <w:rPr>
          <w:rFonts w:hint="eastAsia" w:ascii="仿宋" w:hAnsi="仿宋" w:eastAsia="仿宋" w:cs="仿宋"/>
          <w:color w:val="auto"/>
          <w:sz w:val="32"/>
          <w:szCs w:val="32"/>
          <w:lang w:val="en-US" w:eastAsia="zh-CN"/>
        </w:rPr>
        <w:t>破损老化问题，提高水厂运行效益。配合水源置换工程，对蓄水池进行修复、加固。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left="42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w:t>
      </w:r>
      <w:r>
        <w:rPr>
          <w:rFonts w:ascii="仿宋" w:hAnsi="仿宋" w:eastAsia="仿宋" w:cs="仿宋"/>
          <w:color w:val="auto"/>
          <w:sz w:val="32"/>
          <w:szCs w:val="32"/>
          <w:lang w:val="en-US" w:eastAsia="zh-CN"/>
        </w:rPr>
        <w:t>2021</w:t>
      </w:r>
      <w:r>
        <w:rPr>
          <w:rFonts w:hint="eastAsia" w:ascii="仿宋" w:hAnsi="仿宋" w:eastAsia="仿宋" w:cs="仿宋"/>
          <w:color w:val="auto"/>
          <w:sz w:val="32"/>
          <w:szCs w:val="32"/>
          <w:lang w:val="en-US" w:eastAsia="zh-CN"/>
        </w:rPr>
        <w:t>年完成农村饮水工程维修养护</w:t>
      </w:r>
      <w:r>
        <w:rPr>
          <w:rFonts w:ascii="仿宋" w:hAnsi="仿宋" w:eastAsia="仿宋" w:cs="仿宋"/>
          <w:color w:val="auto"/>
          <w:sz w:val="32"/>
          <w:szCs w:val="32"/>
          <w:lang w:val="en-US" w:eastAsia="zh-CN"/>
        </w:rPr>
        <w:t>21</w:t>
      </w:r>
      <w:r>
        <w:rPr>
          <w:rFonts w:hint="eastAsia" w:ascii="仿宋" w:hAnsi="仿宋" w:eastAsia="仿宋" w:cs="仿宋"/>
          <w:color w:val="auto"/>
          <w:sz w:val="32"/>
          <w:szCs w:val="32"/>
          <w:lang w:val="en-US" w:eastAsia="zh-CN"/>
        </w:rPr>
        <w:t>处，维修合格率</w:t>
      </w:r>
      <w:r>
        <w:rPr>
          <w:rFonts w:ascii="仿宋" w:hAnsi="仿宋" w:eastAsia="仿宋" w:cs="仿宋"/>
          <w:color w:val="auto"/>
          <w:sz w:val="32"/>
          <w:szCs w:val="32"/>
          <w:lang w:val="en-US" w:eastAsia="zh-CN"/>
        </w:rPr>
        <w:t>95%</w:t>
      </w:r>
      <w:r>
        <w:rPr>
          <w:rFonts w:hint="eastAsia" w:ascii="仿宋" w:hAnsi="仿宋" w:eastAsia="仿宋" w:cs="仿宋"/>
          <w:color w:val="auto"/>
          <w:sz w:val="32"/>
          <w:szCs w:val="32"/>
          <w:lang w:val="en-US" w:eastAsia="zh-CN"/>
        </w:rPr>
        <w:t>以上，维修养护受益人口</w:t>
      </w:r>
      <w:r>
        <w:rPr>
          <w:rFonts w:ascii="仿宋" w:hAnsi="仿宋" w:eastAsia="仿宋" w:cs="仿宋"/>
          <w:color w:val="auto"/>
          <w:sz w:val="32"/>
          <w:szCs w:val="32"/>
          <w:lang w:val="en-US" w:eastAsia="zh-CN"/>
        </w:rPr>
        <w:t>10.03</w:t>
      </w:r>
      <w:r>
        <w:rPr>
          <w:rFonts w:hint="eastAsia" w:ascii="仿宋" w:hAnsi="仿宋" w:eastAsia="仿宋" w:cs="仿宋"/>
          <w:color w:val="auto"/>
          <w:sz w:val="32"/>
          <w:szCs w:val="32"/>
          <w:lang w:val="en-US" w:eastAsia="zh-CN"/>
        </w:rPr>
        <w:t>万人。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12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5、有力推进重点水利工程建设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w:t>
      </w:r>
      <w:r>
        <w:rPr>
          <w:rFonts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加快中亭堤泵站小庙站、高各庄站更新改造及中亭河危桥重建工程，推进大清河和赵王新河治理工作，编制五位一体综合规划，对扬水站涵闸进行维修养护。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绩效指标：重建高各庄、小庙</w:t>
      </w:r>
      <w:r>
        <w:rPr>
          <w:rFonts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座中亭堤泵站，完成大清河河道治理</w:t>
      </w:r>
      <w:r>
        <w:rPr>
          <w:rFonts w:ascii="仿宋" w:hAnsi="仿宋" w:eastAsia="仿宋" w:cs="仿宋"/>
          <w:color w:val="auto"/>
          <w:sz w:val="32"/>
          <w:szCs w:val="32"/>
          <w:lang w:val="en-US" w:eastAsia="zh-CN"/>
        </w:rPr>
        <w:t>12</w:t>
      </w:r>
      <w:r>
        <w:rPr>
          <w:rFonts w:hint="eastAsia" w:ascii="仿宋" w:hAnsi="仿宋" w:eastAsia="仿宋" w:cs="仿宋"/>
          <w:color w:val="auto"/>
          <w:sz w:val="32"/>
          <w:szCs w:val="32"/>
          <w:lang w:val="en-US" w:eastAsia="zh-CN"/>
        </w:rPr>
        <w:t>公里。维修养护</w:t>
      </w:r>
      <w:r>
        <w:rPr>
          <w:rFonts w:ascii="仿宋" w:hAnsi="仿宋" w:eastAsia="仿宋" w:cs="仿宋"/>
          <w:color w:val="auto"/>
          <w:sz w:val="32"/>
          <w:szCs w:val="32"/>
          <w:lang w:val="en-US" w:eastAsia="zh-CN"/>
        </w:rPr>
        <w:t>13</w:t>
      </w:r>
      <w:r>
        <w:rPr>
          <w:rFonts w:hint="eastAsia" w:ascii="仿宋" w:hAnsi="仿宋" w:eastAsia="仿宋" w:cs="仿宋"/>
          <w:color w:val="auto"/>
          <w:sz w:val="32"/>
          <w:szCs w:val="32"/>
          <w:lang w:val="en-US" w:eastAsia="zh-CN"/>
        </w:rPr>
        <w:t>座扬水站，</w:t>
      </w:r>
      <w:r>
        <w:rPr>
          <w:rFonts w:ascii="仿宋" w:hAnsi="仿宋" w:eastAsia="仿宋" w:cs="仿宋"/>
          <w:color w:val="auto"/>
          <w:sz w:val="32"/>
          <w:szCs w:val="32"/>
          <w:lang w:val="en-US" w:eastAsia="zh-CN"/>
        </w:rPr>
        <w:t>12</w:t>
      </w:r>
      <w:r>
        <w:rPr>
          <w:rFonts w:hint="eastAsia" w:ascii="仿宋" w:hAnsi="仿宋" w:eastAsia="仿宋" w:cs="仿宋"/>
          <w:color w:val="auto"/>
          <w:sz w:val="32"/>
          <w:szCs w:val="32"/>
          <w:lang w:val="en-US" w:eastAsia="zh-CN"/>
        </w:rPr>
        <w:t>座节制闸。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6、水旱灾害防御能力进一步增强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绩效目标：负责水旱灾害风险普查工作，全力做好水量调度，承担水情旱情预警工作，抢险技术支撑，协调指导蓄滞洪区安全建设、蓄滞洪区安全管理和运用补偿工作。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绩效指标：调整细化了《霸州市洪水调度方案》、《东淀蓄滞洪区运用预案》等</w:t>
      </w:r>
      <w:r>
        <w:rPr>
          <w:rFonts w:ascii="仿宋" w:hAnsi="仿宋" w:eastAsia="仿宋" w:cs="仿宋"/>
          <w:color w:val="auto"/>
          <w:sz w:val="32"/>
          <w:szCs w:val="32"/>
          <w:lang w:val="en-US" w:eastAsia="zh-CN"/>
        </w:rPr>
        <w:t>4</w:t>
      </w:r>
      <w:r>
        <w:rPr>
          <w:rFonts w:hint="eastAsia" w:ascii="仿宋" w:hAnsi="仿宋" w:eastAsia="仿宋" w:cs="仿宋"/>
          <w:color w:val="auto"/>
          <w:sz w:val="32"/>
          <w:szCs w:val="32"/>
          <w:lang w:val="en-US" w:eastAsia="zh-CN"/>
        </w:rPr>
        <w:t>项主要预案，汛前检查河道4条、堤防7条、国营扬水站13座、大中型水闸6座，核实</w:t>
      </w:r>
      <w:r>
        <w:rPr>
          <w:rFonts w:ascii="仿宋" w:hAnsi="仿宋" w:eastAsia="仿宋" w:cs="仿宋"/>
          <w:color w:val="auto"/>
          <w:sz w:val="32"/>
          <w:szCs w:val="32"/>
          <w:lang w:val="en-US" w:eastAsia="zh-CN"/>
        </w:rPr>
        <w:t>9</w:t>
      </w:r>
      <w:r>
        <w:rPr>
          <w:rFonts w:hint="eastAsia" w:ascii="仿宋" w:hAnsi="仿宋" w:eastAsia="仿宋" w:cs="仿宋"/>
          <w:color w:val="auto"/>
          <w:sz w:val="32"/>
          <w:szCs w:val="32"/>
          <w:lang w:val="en-US" w:eastAsia="zh-CN"/>
        </w:rPr>
        <w:t>个乡镇的居民财产。调查我市水闸</w:t>
      </w:r>
      <w:r>
        <w:rPr>
          <w:rFonts w:ascii="仿宋" w:hAnsi="仿宋" w:eastAsia="仿宋" w:cs="仿宋"/>
          <w:color w:val="auto"/>
          <w:sz w:val="32"/>
          <w:szCs w:val="32"/>
          <w:lang w:val="en-US" w:eastAsia="zh-CN"/>
        </w:rPr>
        <w:t>24</w:t>
      </w:r>
      <w:r>
        <w:rPr>
          <w:rFonts w:hint="eastAsia" w:ascii="仿宋" w:hAnsi="仿宋" w:eastAsia="仿宋" w:cs="仿宋"/>
          <w:color w:val="auto"/>
          <w:sz w:val="32"/>
          <w:szCs w:val="32"/>
          <w:lang w:val="en-US" w:eastAsia="zh-CN"/>
        </w:rPr>
        <w:t>座、河流</w:t>
      </w:r>
      <w:r>
        <w:rPr>
          <w:rFonts w:ascii="仿宋" w:hAnsi="仿宋" w:eastAsia="仿宋" w:cs="仿宋"/>
          <w:color w:val="auto"/>
          <w:sz w:val="32"/>
          <w:szCs w:val="32"/>
          <w:lang w:val="en-US" w:eastAsia="zh-CN"/>
        </w:rPr>
        <w:t>5</w:t>
      </w:r>
      <w:r>
        <w:rPr>
          <w:rFonts w:hint="eastAsia" w:ascii="仿宋" w:hAnsi="仿宋" w:eastAsia="仿宋" w:cs="仿宋"/>
          <w:color w:val="auto"/>
          <w:sz w:val="32"/>
          <w:szCs w:val="32"/>
          <w:lang w:val="en-US" w:eastAsia="zh-CN"/>
        </w:rPr>
        <w:t>条、蓄滞洪区</w:t>
      </w:r>
      <w:r>
        <w:rPr>
          <w:rFonts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处、堤防</w:t>
      </w:r>
      <w:r>
        <w:rPr>
          <w:rFonts w:ascii="仿宋" w:hAnsi="仿宋" w:eastAsia="仿宋" w:cs="仿宋"/>
          <w:color w:val="auto"/>
          <w:sz w:val="32"/>
          <w:szCs w:val="32"/>
          <w:lang w:val="en-US" w:eastAsia="zh-CN"/>
        </w:rPr>
        <w:t>6</w:t>
      </w:r>
      <w:r>
        <w:rPr>
          <w:rFonts w:hint="eastAsia" w:ascii="仿宋" w:hAnsi="仿宋" w:eastAsia="仿宋" w:cs="仿宋"/>
          <w:color w:val="auto"/>
          <w:sz w:val="32"/>
          <w:szCs w:val="32"/>
          <w:lang w:val="en-US" w:eastAsia="zh-CN"/>
        </w:rPr>
        <w:t>条，完成数据汇总，风险图绘制和成果编制。</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（三）工作保障</w:t>
      </w:r>
      <w:r>
        <w:rPr>
          <w:rFonts w:ascii="仿宋_GB2312" w:hAnsi="Times New Roman" w:eastAsia="仿宋_GB2312" w:cs="Times New Roman"/>
          <w:color w:val="auto"/>
          <w:sz w:val="32"/>
          <w:szCs w:val="32"/>
        </w:rPr>
        <w:t>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1、完善制度建设，做好绩效自评，提高资金使用效益，促进预算绩效管理水平提升。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2、加强支出和内控管理，加强内审工作，严格审核，加快履行政府采购手续，优化财政资金配置，提高资金效益，确保支出进度达标。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Times New Roman" w:hAnsi="Times New Roman" w:eastAsia="宋体"/>
          <w:color w:val="auto"/>
          <w:sz w:val="32"/>
          <w:szCs w:val="32"/>
          <w:lang w:val="en-US" w:eastAsia="zh-CN"/>
        </w:rPr>
      </w:pPr>
      <w:r>
        <w:rPr>
          <w:rFonts w:hint="eastAsia" w:ascii="仿宋" w:hAnsi="仿宋" w:eastAsia="仿宋" w:cs="仿宋"/>
          <w:color w:val="auto"/>
          <w:sz w:val="32"/>
          <w:szCs w:val="32"/>
          <w:lang w:val="en-US" w:eastAsia="zh-CN"/>
        </w:rPr>
        <w:t>3、加强绩效运行监控，按要求开展绩效运行监控，发现问题及时采取措施，确保绩效目标如期保质实现。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4、加强绩效评价管理，对评价中发现的问题及时整改，推进河长制，支持水资源保护和生态建设，对项目实行全程质量监督。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5、加强内部监督和规范财务资产管理，对会计资料进行内部审计，完善财务管理制度，做到支出合理，对绩效运行情况、重大支出决策执行进行督导。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4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6、加强人员宣传培训，提高本部门职工业务素质，加大宣传力度，强化预算绩效管理意识，促进预算绩效管理水平进一步提高。</w:t>
      </w:r>
    </w:p>
    <w:p>
      <w:pPr>
        <w:numPr>
          <w:ilvl w:val="0"/>
          <w:numId w:val="5"/>
        </w:numPr>
        <w:ind w:firstLine="640" w:firstLineChars="200"/>
        <w:rPr>
          <w:rFonts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lang w:val="en-US" w:eastAsia="zh-CN"/>
        </w:rPr>
        <w:t>单位</w:t>
      </w:r>
      <w:r>
        <w:rPr>
          <w:rFonts w:hint="eastAsia" w:ascii="仿宋_GB2312" w:hAnsi="Times New Roman" w:eastAsia="仿宋_GB2312" w:cs="Times New Roman"/>
          <w:bCs/>
          <w:color w:val="auto"/>
          <w:sz w:val="32"/>
          <w:szCs w:val="32"/>
        </w:rPr>
        <w:t>整体支出绩效指标</w:t>
      </w:r>
      <w:r>
        <w:rPr>
          <w:rFonts w:hint="eastAsia" w:ascii="仿宋_GB2312" w:hAnsi="Times New Roman" w:eastAsia="仿宋_GB2312" w:cs="Times New Roman"/>
          <w:bCs/>
          <w:color w:val="auto"/>
          <w:sz w:val="32"/>
          <w:szCs w:val="32"/>
          <w:lang w:val="en-US" w:eastAsia="zh-CN"/>
        </w:rPr>
        <w:t>情况</w:t>
      </w:r>
    </w:p>
    <w:p>
      <w:pPr>
        <w:numPr>
          <w:ilvl w:val="0"/>
          <w:numId w:val="0"/>
        </w:numPr>
        <w:jc w:val="center"/>
        <w:rPr>
          <w:rFonts w:hint="eastAsia" w:ascii="仿宋_GB2312" w:hAnsi="Times New Roman" w:eastAsia="仿宋_GB2312" w:cs="Times New Roman"/>
          <w:b/>
          <w:bCs w:val="0"/>
          <w:color w:val="auto"/>
          <w:sz w:val="32"/>
          <w:szCs w:val="32"/>
          <w:lang w:val="en-US" w:eastAsia="zh-CN"/>
        </w:rPr>
      </w:pPr>
      <w:r>
        <w:rPr>
          <w:rFonts w:hint="eastAsia" w:ascii="仿宋_GB2312" w:hAnsi="Times New Roman" w:eastAsia="仿宋_GB2312" w:cs="Times New Roman"/>
          <w:b/>
          <w:bCs w:val="0"/>
          <w:color w:val="auto"/>
          <w:sz w:val="32"/>
          <w:szCs w:val="32"/>
          <w:lang w:val="en-US" w:eastAsia="zh-CN"/>
        </w:rPr>
        <w:t>单位整体支出绩效指标情况表</w:t>
      </w:r>
    </w:p>
    <w:tbl>
      <w:tblPr>
        <w:tblStyle w:val="4"/>
        <w:tblW w:w="13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6"/>
        <w:gridCol w:w="1299"/>
        <w:gridCol w:w="1768"/>
        <w:gridCol w:w="2322"/>
        <w:gridCol w:w="1379"/>
        <w:gridCol w:w="1007"/>
        <w:gridCol w:w="909"/>
        <w:gridCol w:w="2028"/>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一级指标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二级指标</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三级指标</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绩效指标描述</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评（扣）分标准</w:t>
            </w:r>
          </w:p>
        </w:tc>
        <w:tc>
          <w:tcPr>
            <w:tcW w:w="3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指标值</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符号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值</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单位（文字描述）</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产出指标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巡查长度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巡查我市市级河长长度</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234.60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公里</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巡查覆盖</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巡查达到我市市级河流全覆盖</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条</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大清河河道治理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完成大清河河道治理12公里</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公里</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维系养护扬水站、节制闸闸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对扬水站涵闸进行维修养护</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座</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开展汛前检查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汛前对我市主要河流、堤防、扬水站、闸涵进行防汛检查。</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次</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引江水日供水量</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引江水实际使用供水水量</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万吨/日</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河长制巡查工作验收合格率 </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河长制巡查工作验收合格率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文字描述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含问题照片、种类、数量面积及位置坐标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购置质量合格率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购置质量合格的材料占购置总量的比率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项目（工程）验收合格率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实际验收合格工程量占已完成工程量的比率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河长制评估考核</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评估考核工作实效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月份</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项目（工程）完成及时率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工程施工按工作进度执行的工作量占工程完工总量的比率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项目预算控制数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霸州市水务局2021年财政预算金额</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文字描述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以年终决算金额为准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效益指标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可持续影响指标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有效推动河长制工作</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推动河长制工作落地见效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文字描述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auto"/>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对现运行的农村水厂进行维修养护</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维修养护受益人口(万人)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10.03</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生态效益指标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农业地下水压采量</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增强节水意识，减少开采水量</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万m3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2"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满意度指标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群众满意度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群众对水务局各项工作的满意和较满意的数量占调查总人数的比率</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计划标准</w:t>
            </w:r>
          </w:p>
        </w:tc>
      </w:tr>
    </w:tbl>
    <w:p>
      <w:pPr>
        <w:autoSpaceDE w:val="0"/>
        <w:autoSpaceDN w:val="0"/>
        <w:adjustRightInd w:val="0"/>
        <w:ind w:firstLine="643" w:firstLineChars="200"/>
        <w:jc w:val="left"/>
        <w:rPr>
          <w:rFonts w:hint="eastAsia" w:ascii="楷体_GB2312" w:hAnsi="Times New Roman" w:eastAsia="楷体_GB2312" w:cs="Times New Roman"/>
          <w:b/>
          <w:color w:val="auto"/>
          <w:sz w:val="32"/>
          <w:szCs w:val="32"/>
          <w:lang w:val="en-US" w:eastAsia="zh-CN"/>
        </w:rPr>
      </w:pPr>
      <w:bookmarkStart w:id="2" w:name="_Toc471398463"/>
    </w:p>
    <w:p>
      <w:pPr>
        <w:autoSpaceDE w:val="0"/>
        <w:autoSpaceDN w:val="0"/>
        <w:adjustRightInd w:val="0"/>
        <w:ind w:firstLine="321" w:firstLineChars="100"/>
        <w:jc w:val="left"/>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lang w:val="en-US" w:eastAsia="zh-CN"/>
        </w:rPr>
        <w:t xml:space="preserve">第二部分  </w:t>
      </w:r>
      <w:r>
        <w:rPr>
          <w:rFonts w:hint="eastAsia" w:ascii="楷体_GB2312" w:hAnsi="Times New Roman" w:eastAsia="楷体_GB2312" w:cs="Times New Roman"/>
          <w:b/>
          <w:color w:val="auto"/>
          <w:sz w:val="32"/>
          <w:szCs w:val="32"/>
        </w:rPr>
        <w:t>预算项目</w:t>
      </w:r>
      <w:r>
        <w:rPr>
          <w:rFonts w:ascii="楷体_GB2312" w:hAnsi="Times New Roman" w:eastAsia="楷体_GB2312" w:cs="Times New Roman"/>
          <w:b/>
          <w:color w:val="auto"/>
          <w:sz w:val="32"/>
          <w:szCs w:val="32"/>
        </w:rPr>
        <w:t>绩效目标</w:t>
      </w:r>
    </w:p>
    <w:bookmarkEnd w:id="2"/>
    <w:p>
      <w:p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rPr>
        <w:t>1、</w:t>
      </w:r>
      <w:r>
        <w:rPr>
          <w:rFonts w:hint="eastAsia" w:ascii="方正仿宋_GBK" w:eastAsia="方正仿宋_GBK"/>
          <w:b/>
          <w:color w:val="auto"/>
          <w:sz w:val="28"/>
          <w:lang w:val="en-US" w:eastAsia="zh-CN"/>
        </w:rPr>
        <w:t>南水北调受水区自备井关停资金★绩效目标表</w:t>
      </w:r>
      <w:r>
        <w:rPr>
          <w:rFonts w:hint="eastAsia" w:ascii="方正仿宋_GBK" w:eastAsia="方正仿宋_GBK"/>
          <w:b/>
          <w:color w:val="auto"/>
          <w:sz w:val="28"/>
          <w:lang w:val="en-US" w:eastAsia="zh-CN"/>
        </w:rPr>
        <w:fldChar w:fldCharType="begin"/>
      </w:r>
      <w:r>
        <w:rPr>
          <w:rFonts w:hint="eastAsia" w:ascii="方正仿宋_GBK" w:eastAsia="方正仿宋_GBK"/>
          <w:b/>
          <w:color w:val="auto"/>
          <w:sz w:val="28"/>
          <w:lang w:val="en-US" w:eastAsia="zh-CN"/>
        </w:rPr>
        <w:instrText xml:space="preserve"> TC </w:instrText>
      </w:r>
      <w:bookmarkStart w:id="3" w:name="_Toc30521345"/>
      <w:r>
        <w:rPr>
          <w:rFonts w:hint="eastAsia" w:ascii="方正仿宋_GBK" w:eastAsia="方正仿宋_GBK"/>
          <w:b/>
          <w:color w:val="auto"/>
          <w:sz w:val="28"/>
          <w:lang w:val="en-US" w:eastAsia="zh-CN"/>
        </w:rPr>
        <w:instrText xml:space="preserve">1、常委会经费绩效目标表</w:instrText>
      </w:r>
      <w:bookmarkEnd w:id="3"/>
      <w:r>
        <w:rPr>
          <w:rFonts w:hint="eastAsia" w:ascii="方正仿宋_GBK" w:eastAsia="方正仿宋_GBK"/>
          <w:b/>
          <w:color w:val="auto"/>
          <w:sz w:val="28"/>
          <w:lang w:val="en-US" w:eastAsia="zh-CN"/>
        </w:rPr>
        <w:instrText xml:space="preserve"> \f C \l 1 </w:instrText>
      </w:r>
      <w:r>
        <w:rPr>
          <w:rFonts w:hint="eastAsia" w:ascii="方正仿宋_GBK" w:eastAsia="方正仿宋_GBK"/>
          <w:b/>
          <w:color w:val="auto"/>
          <w:sz w:val="28"/>
          <w:lang w:val="en-US" w:eastAsia="zh-CN"/>
        </w:rPr>
        <w:fldChar w:fldCharType="end"/>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3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014"/>
        <w:gridCol w:w="2093"/>
        <w:gridCol w:w="2778"/>
        <w:gridCol w:w="120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4" w:hRule="atLeast"/>
          <w:tblHeader/>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0731"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1、通过实施自备井关停工作，有效的压采地下水超采量，实现地下水采补平衡，持续改善水生态环境。</w:t>
            </w:r>
          </w:p>
          <w:p>
            <w:pPr>
              <w:spacing w:line="300" w:lineRule="exact"/>
              <w:jc w:val="both"/>
              <w:rPr>
                <w:rFonts w:hint="eastAsia" w:ascii="方正书宋_GBK" w:eastAsia="方正书宋_GBK"/>
                <w:b/>
                <w:color w:val="auto"/>
              </w:rPr>
            </w:pPr>
            <w:r>
              <w:rPr>
                <w:rFonts w:hint="eastAsia" w:ascii="方正书宋_GBK" w:eastAsia="方正书宋_GBK"/>
                <w:color w:val="auto"/>
                <w:lang w:val="en-US" w:eastAsia="zh-CN"/>
              </w:rPr>
              <w:t>2、加快南水北调引江水消纳，补充地下水资源工作的推进。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7" w:hRule="atLeast"/>
          <w:tblHeader/>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数量指标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自备井关停数量</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关停自备井数量</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val="en-US" w:eastAsia="zh-CN"/>
              </w:rPr>
              <w:t>≥10眼</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质量指标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工程验收合格率</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工程验收合格率</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成本指标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项目成本控制数</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总成本</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17.32万元</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时效指标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工程完工时间</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工程完工时间</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11月份</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生态效益指标</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减少地下水开采量</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减少地下水开采量</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1万m³</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服务对象满意度</w:t>
            </w:r>
          </w:p>
        </w:tc>
        <w:tc>
          <w:tcPr>
            <w:tcW w:w="20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省水利厅满意度</w:t>
            </w:r>
          </w:p>
        </w:tc>
        <w:tc>
          <w:tcPr>
            <w:tcW w:w="27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省水利厅满意度</w:t>
            </w:r>
          </w:p>
        </w:tc>
        <w:tc>
          <w:tcPr>
            <w:tcW w:w="12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95%</w:t>
            </w:r>
          </w:p>
        </w:tc>
        <w:tc>
          <w:tcPr>
            <w:tcW w:w="2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《河北省城镇自备井关停技术要求的通知》（冀水资【2016】104号</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rPr>
      </w:pPr>
      <w:r>
        <w:rPr>
          <w:rFonts w:hint="eastAsia" w:ascii="方正仿宋_GBK" w:eastAsia="方正仿宋_GBK"/>
          <w:b/>
          <w:color w:val="auto"/>
          <w:sz w:val="28"/>
          <w:lang w:val="en-US" w:eastAsia="zh-CN"/>
        </w:rPr>
        <w:t>2、新胜供水有限公司审计及资产评估服务费</w:t>
      </w:r>
      <w:r>
        <w:rPr>
          <w:rFonts w:hint="eastAsia" w:ascii="方正仿宋_GBK" w:eastAsia="方正仿宋_GBK"/>
          <w:b/>
          <w:color w:val="auto"/>
          <w:sz w:val="28"/>
        </w:rPr>
        <w:t>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3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7"/>
        <w:gridCol w:w="1986"/>
        <w:gridCol w:w="2084"/>
        <w:gridCol w:w="2688"/>
        <w:gridCol w:w="1188"/>
        <w:gridCol w:w="2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tblHeader/>
          <w:jc w:val="center"/>
        </w:trPr>
        <w:tc>
          <w:tcPr>
            <w:tcW w:w="24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061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通过新胜供水有限公司审计及资产评估服务工作的完成，达到市政府加快收购水厂及已建成管网的工作进程，从而促进城乡供水一体化项目的实施的目标。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8" w:hRule="atLeast"/>
          <w:tblHeader/>
          <w:jc w:val="center"/>
        </w:trPr>
        <w:tc>
          <w:tcPr>
            <w:tcW w:w="24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86"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数量指标</w:t>
            </w:r>
          </w:p>
        </w:tc>
        <w:tc>
          <w:tcPr>
            <w:tcW w:w="2084"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审计及评估报告编制数量</w:t>
            </w:r>
          </w:p>
        </w:tc>
        <w:tc>
          <w:tcPr>
            <w:tcW w:w="2688"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审计及评估报告编制装订完成交付使用数量</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≥6.00份</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质量指标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审计及评估报告编制准确率</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审计、评估准确内容占全部编制内容的比例</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时效指标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审计及评估报告完成时间</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审计及评估报告编制完成交付使用时间</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3.00月</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成本指标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审计及评估报告编制成本控制数额</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审计及评估报告编制费用实际支出额</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19.02万元</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可持续影响指标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审计及评估报告对收购资产的指导</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审计及评估报告对工程建设的指导参考年限</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≥1.00年</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240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社会效益指标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对国有资产的保护性</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保障国有资产不流失比例</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有效保障</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0" w:hRule="atLeast"/>
          <w:jc w:val="center"/>
        </w:trPr>
        <w:tc>
          <w:tcPr>
            <w:tcW w:w="24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0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受益群众满意度</w:t>
            </w:r>
          </w:p>
        </w:tc>
        <w:tc>
          <w:tcPr>
            <w:tcW w:w="26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受益群体调查中，满意和较满意的人数占全部调查人数的比例</w:t>
            </w:r>
          </w:p>
        </w:tc>
        <w:tc>
          <w:tcPr>
            <w:tcW w:w="11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≥90.00%</w:t>
            </w:r>
          </w:p>
        </w:tc>
        <w:tc>
          <w:tcPr>
            <w:tcW w:w="26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rPr>
          <w:rFonts w:ascii="仿宋_GB2312" w:hAnsi="黑体" w:eastAsia="仿宋_GB2312" w:cs="Times New Roman"/>
          <w:color w:val="auto"/>
          <w:sz w:val="32"/>
          <w:szCs w:val="32"/>
        </w:rPr>
      </w:pPr>
    </w:p>
    <w:p>
      <w:pPr>
        <w:numPr>
          <w:ilvl w:val="0"/>
          <w:numId w:val="0"/>
        </w:numPr>
        <w:rPr>
          <w:rFonts w:ascii="仿宋_GB2312" w:hAnsi="黑体" w:eastAsia="仿宋_GB2312" w:cs="Times New Roman"/>
          <w:color w:val="auto"/>
          <w:sz w:val="32"/>
          <w:szCs w:val="32"/>
          <w:lang w:val="en-US"/>
        </w:rPr>
      </w:pPr>
      <w:r>
        <w:rPr>
          <w:rFonts w:hint="eastAsia" w:ascii="方正仿宋_GBK" w:eastAsia="方正仿宋_GBK"/>
          <w:b/>
          <w:color w:val="auto"/>
          <w:sz w:val="28"/>
          <w:lang w:val="en-US" w:eastAsia="zh-CN"/>
        </w:rPr>
        <w:t>3、关于提前下达2021年省级地下水超采综合治理专项资金的通知（冀财农[2020]146号）绩效目标表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32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2037"/>
        <w:gridCol w:w="2464"/>
        <w:gridCol w:w="3221"/>
        <w:gridCol w:w="1642"/>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blHeader/>
          <w:jc w:val="center"/>
        </w:trPr>
        <w:tc>
          <w:tcPr>
            <w:tcW w:w="16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618"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1.通过实施自备井关停工作，有效的压采地下水超采量，实现地下水采补平衡，持续改善水生态环境。</w:t>
            </w:r>
          </w:p>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2.加快南水北调引江水消纳，补充地下水资源工作的推进。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1" w:hRule="atLeast"/>
          <w:tblHeader/>
          <w:jc w:val="center"/>
        </w:trPr>
        <w:tc>
          <w:tcPr>
            <w:tcW w:w="16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restart"/>
            <w:tcBorders>
              <w:left w:val="single" w:color="000000" w:sz="6" w:space="0"/>
              <w:right w:val="single" w:color="000000" w:sz="6" w:space="0"/>
            </w:tcBorders>
            <w:vAlign w:val="center"/>
          </w:tcPr>
          <w:p>
            <w:pPr>
              <w:spacing w:line="300" w:lineRule="exact"/>
              <w:jc w:val="center"/>
              <w:rPr>
                <w:rFonts w:ascii="方正书宋_GBK" w:eastAsia="方正书宋_GBK"/>
                <w:color w:val="auto"/>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数量指标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自备井关停数量</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关停自备井数量</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val="en-US" w:eastAsia="zh-CN"/>
              </w:rPr>
              <w:t>≥124眼</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质量指标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工程验收合格率</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工程验收合格率</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eastAsia="zh-CN"/>
              </w:rPr>
              <w:t>＝</w:t>
            </w:r>
            <w:r>
              <w:rPr>
                <w:rFonts w:hint="eastAsia" w:ascii="方正书宋_GBK" w:eastAsia="方正书宋_GBK"/>
                <w:b w:val="0"/>
                <w:bCs w:val="0"/>
                <w:color w:val="auto"/>
                <w:lang w:val="en-US" w:eastAsia="zh-CN"/>
              </w:rPr>
              <w:t>100%</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成本指标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项目成本控制数</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总成本</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val="0"/>
                <w:bCs w:val="0"/>
                <w:color w:val="auto"/>
                <w:lang w:val="en-US" w:eastAsia="zh-CN"/>
              </w:rPr>
            </w:pPr>
            <w:r>
              <w:rPr>
                <w:rFonts w:hint="eastAsia" w:ascii="方正书宋_GBK" w:eastAsia="方正书宋_GBK"/>
                <w:b w:val="0"/>
                <w:bCs w:val="0"/>
                <w:color w:val="auto"/>
                <w:lang w:eastAsia="zh-CN"/>
              </w:rPr>
              <w:t>≤</w:t>
            </w:r>
            <w:r>
              <w:rPr>
                <w:rFonts w:hint="eastAsia" w:ascii="方正书宋_GBK" w:eastAsia="方正书宋_GBK"/>
                <w:b w:val="0"/>
                <w:bCs w:val="0"/>
                <w:color w:val="auto"/>
                <w:lang w:val="en-US" w:eastAsia="zh-CN"/>
              </w:rPr>
              <w:t>186万元</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val="0"/>
                <w:bCs w:val="0"/>
                <w:color w:val="auto"/>
                <w:lang w:eastAsia="zh-CN"/>
              </w:rPr>
            </w:pPr>
            <w:r>
              <w:rPr>
                <w:rFonts w:hint="eastAsia" w:ascii="方正书宋_GBK" w:eastAsia="方正书宋_GBK"/>
                <w:b w:val="0"/>
                <w:bCs w:val="0"/>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时效指标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工程完工时间</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工程完工时间</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12月份</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jc w:val="center"/>
        </w:trPr>
        <w:tc>
          <w:tcPr>
            <w:tcW w:w="1622"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生态效益指标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减少地下水开采</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减少地下水开采</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10万m³</w:t>
            </w:r>
          </w:p>
        </w:tc>
        <w:tc>
          <w:tcPr>
            <w:tcW w:w="225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jc w:val="center"/>
        </w:trPr>
        <w:tc>
          <w:tcPr>
            <w:tcW w:w="1622" w:type="dxa"/>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满意度指标</w:t>
            </w:r>
          </w:p>
        </w:tc>
        <w:tc>
          <w:tcPr>
            <w:tcW w:w="20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服务对象满意度指标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省水利厅满意度</w:t>
            </w:r>
          </w:p>
        </w:tc>
        <w:tc>
          <w:tcPr>
            <w:tcW w:w="32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省水利厅满意度</w:t>
            </w:r>
          </w:p>
        </w:tc>
        <w:tc>
          <w:tcPr>
            <w:tcW w:w="16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95%</w:t>
            </w:r>
          </w:p>
        </w:tc>
        <w:tc>
          <w:tcPr>
            <w:tcW w:w="2254" w:type="dxa"/>
            <w:tcBorders>
              <w:top w:val="single" w:color="000000" w:sz="6" w:space="0"/>
              <w:left w:val="single" w:color="000000" w:sz="6" w:space="0"/>
              <w:bottom w:val="single" w:color="000000" w:sz="6" w:space="0"/>
              <w:right w:val="single" w:color="000000" w:sz="6" w:space="0"/>
            </w:tcBorders>
            <w:vAlign w:val="center"/>
          </w:tcPr>
          <w:p>
            <w:pPr>
              <w:tabs>
                <w:tab w:val="center" w:pos="742"/>
              </w:tabs>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《河北省城镇自备井关停技术要求》</w:t>
            </w:r>
          </w:p>
        </w:tc>
      </w:tr>
    </w:tbl>
    <w:p>
      <w:pPr>
        <w:numPr>
          <w:ilvl w:val="0"/>
          <w:numId w:val="0"/>
        </w:numPr>
        <w:rPr>
          <w:rFonts w:hint="eastAsia" w:ascii="方正仿宋_GBK" w:eastAsia="方正仿宋_GBK"/>
          <w:b/>
          <w:color w:val="auto"/>
          <w:sz w:val="28"/>
          <w:lang w:val="en-US" w:eastAsia="zh-CN"/>
        </w:rPr>
      </w:pPr>
    </w:p>
    <w:p>
      <w:pPr>
        <w:numPr>
          <w:ilvl w:val="0"/>
          <w:numId w:val="0"/>
        </w:numPr>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4、南水北调水费绩效目标表</w:t>
      </w:r>
    </w:p>
    <w:tbl>
      <w:tblPr>
        <w:tblStyle w:val="4"/>
        <w:tblW w:w="13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2049"/>
        <w:gridCol w:w="2506"/>
        <w:gridCol w:w="3245"/>
        <w:gridCol w:w="1668"/>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6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2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通过实施南水北调中线水费缴纳工作，保障霸州市居民的正常用水需求。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6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完成南水北调配套工程水费缴纳工作</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完成南水北调配套工程水费缴纳工作</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1次</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160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水质量安全</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水质量安全</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水质达标率</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充分使用项目的资金，保证市区全覆盖</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水费缴纳完成时间</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水费缴纳完成时间不超过计划时间</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≤12月份</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160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项目成本控制数</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本年年底完成数额不超过预算申请额</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≤3880万元</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16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保障霸州居民用水</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有效带动群众节约用水</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160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优化水质，带动用水安全</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6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5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水利厅满意度</w:t>
            </w:r>
          </w:p>
        </w:tc>
        <w:tc>
          <w:tcPr>
            <w:tcW w:w="3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数量占总数量的比例</w:t>
            </w:r>
          </w:p>
        </w:tc>
        <w:tc>
          <w:tcPr>
            <w:tcW w:w="16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100%</w:t>
            </w:r>
          </w:p>
        </w:tc>
        <w:tc>
          <w:tcPr>
            <w:tcW w:w="20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rPr>
          <w:rFonts w:hint="eastAsia" w:ascii="方正仿宋_GBK" w:eastAsia="方正仿宋_GBK"/>
          <w:b/>
          <w:color w:val="auto"/>
          <w:sz w:val="28"/>
          <w:lang w:val="en-US" w:eastAsia="zh-CN"/>
        </w:rPr>
      </w:pPr>
    </w:p>
    <w:p>
      <w:pPr>
        <w:numPr>
          <w:ilvl w:val="0"/>
          <w:numId w:val="0"/>
        </w:numPr>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5、关于提前下达2021年度省级地下水超采综合治理专项资金的通知（冀财农[2020]156号）绩效目标表</w:t>
      </w:r>
    </w:p>
    <w:tbl>
      <w:tblPr>
        <w:tblStyle w:val="4"/>
        <w:tblW w:w="13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2030"/>
        <w:gridCol w:w="2464"/>
        <w:gridCol w:w="3145"/>
        <w:gridCol w:w="1631"/>
        <w:gridCol w:w="2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6" w:hRule="atLeast"/>
          <w:tblHeader/>
          <w:jc w:val="center"/>
        </w:trPr>
        <w:tc>
          <w:tcPr>
            <w:tcW w:w="15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48"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1.完成南水北调配套工程水费</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2.水质量安全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tblHeader/>
          <w:jc w:val="center"/>
        </w:trPr>
        <w:tc>
          <w:tcPr>
            <w:tcW w:w="15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6" w:hRule="atLeast"/>
          <w:jc w:val="center"/>
        </w:trPr>
        <w:tc>
          <w:tcPr>
            <w:tcW w:w="1552"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市区全覆盖</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充分使用项目的资金，保证市区全覆盖</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水质达标率</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水质达标率</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6" w:hRule="atLeast"/>
          <w:jc w:val="center"/>
        </w:trPr>
        <w:tc>
          <w:tcPr>
            <w:tcW w:w="1552"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用水年度计划目标</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每年年底前，完成用水计划年度目标任务</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每年年底前</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用水计划成本投入</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用水计划成本投入</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465万元</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30"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优化水质，促进用水安全</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长期</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155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带动群众节约用水</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有效带动广大群众节约用水</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有效带动</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0" w:hRule="atLeast"/>
          <w:jc w:val="center"/>
        </w:trPr>
        <w:tc>
          <w:tcPr>
            <w:tcW w:w="15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群众满意数量占总数量的比例</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rPr>
          <w:rFonts w:hint="eastAsia" w:ascii="仿宋_GB2312" w:hAnsi="黑体" w:eastAsia="仿宋_GB2312" w:cs="Times New Roman"/>
          <w:color w:val="auto"/>
          <w:sz w:val="32"/>
          <w:szCs w:val="32"/>
          <w:lang w:val="en-US" w:eastAsia="zh-CN"/>
        </w:rPr>
      </w:pPr>
    </w:p>
    <w:p>
      <w:pPr>
        <w:numPr>
          <w:ilvl w:val="0"/>
          <w:numId w:val="0"/>
        </w:numPr>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6、防汛资金绩效目标表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31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2004"/>
        <w:gridCol w:w="2472"/>
        <w:gridCol w:w="3178"/>
        <w:gridCol w:w="1689"/>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tblHeader/>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29"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通过在汛前对水利工程进行维修改造，确保汛期安全。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tblHeader/>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59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水利工程数量</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汛前需要维修改造的水利工程</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≥5个</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159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项目（工程）验收合格率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实际验收合格工程量占已完成工程量的比率</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rPr>
            </w:pPr>
            <w:r>
              <w:rPr>
                <w:rFonts w:hint="eastAsia" w:ascii="方正书宋_GBK" w:eastAsia="方正书宋_GBK"/>
                <w:color w:val="auto"/>
                <w:lang w:val="en-US" w:eastAsia="zh-CN"/>
              </w:rPr>
              <w:t>＝100%</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59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水利工程完成时间</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汛前水利工程维修完成时间</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＝6月份</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5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项目预算控制数</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项目预算金额349.68万元。</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w:t>
            </w:r>
            <w:r>
              <w:rPr>
                <w:rFonts w:hint="eastAsia" w:ascii="方正书宋_GBK" w:eastAsia="方正书宋_GBK"/>
                <w:color w:val="auto"/>
              </w:rPr>
              <w:t>349.68万元</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确保汛期安全度汛</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通过在汛期前对水利工程进行维修改造，确保汛期安全。</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效果显著</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6" w:hRule="atLeast"/>
          <w:jc w:val="center"/>
        </w:trPr>
        <w:tc>
          <w:tcPr>
            <w:tcW w:w="1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4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防汛工程所辖乡镇满意度（%）</w:t>
            </w:r>
            <w:r>
              <w:rPr>
                <w:rFonts w:hint="eastAsia" w:ascii="方正书宋_GBK" w:eastAsia="方正书宋_GBK"/>
                <w:color w:val="auto"/>
              </w:rPr>
              <w:tab/>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防汛工程所辖乡镇满意和较满意数量占受调查总数的比例</w:t>
            </w:r>
          </w:p>
        </w:tc>
        <w:tc>
          <w:tcPr>
            <w:tcW w:w="16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7、水厂罚款及其他费用资金绩效目标表</w:t>
      </w:r>
    </w:p>
    <w:tbl>
      <w:tblPr>
        <w:tblStyle w:val="4"/>
        <w:tblW w:w="13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2020"/>
        <w:gridCol w:w="2459"/>
        <w:gridCol w:w="3195"/>
        <w:gridCol w:w="1660"/>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8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为霸州净水厂及配水管网补办住建局相关手续所需缴纳的罚款以及办理不动产证，保障净水厂相关业务的依法合规开展。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数量指标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罚款及其他费用种类</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依法对水厂违规建设行为缴纳处罚及办理不动产权证相关费用</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≥3项</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63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质量指标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符合国家相关法律法规</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符合国家相关法律法规</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符合</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时效指标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核发不动产权证时间</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缴纳相关罚款及费用后办理不动产权证相关手续完成时间</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≤11月份</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成本指标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水厂罚款及其他费用控制数额</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缴纳相关罚款及办理不动产权证相关费用</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≤300万元</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jc w:val="center"/>
        </w:trPr>
        <w:tc>
          <w:tcPr>
            <w:tcW w:w="1638"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社会效益指标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保障净水厂业务的有效开展</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净水厂手续符合国家标准，保障后期服务工作有序开展</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≥90%</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20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服务对象满意度</w:t>
            </w:r>
          </w:p>
        </w:tc>
        <w:tc>
          <w:tcPr>
            <w:tcW w:w="31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服务单位人员满意和较满意人数占总人数的占比</w:t>
            </w:r>
          </w:p>
        </w:tc>
        <w:tc>
          <w:tcPr>
            <w:tcW w:w="16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2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ind w:firstLine="560" w:firstLineChars="200"/>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仿宋_GB2312" w:hAnsi="黑体" w:eastAsia="仿宋_GB2312" w:cs="Times New Roman"/>
          <w:color w:val="auto"/>
          <w:sz w:val="32"/>
          <w:szCs w:val="32"/>
          <w:lang w:val="en-US" w:eastAsia="zh-CN"/>
        </w:rPr>
      </w:pPr>
      <w:r>
        <w:rPr>
          <w:rFonts w:hint="eastAsia" w:ascii="方正仿宋_GBK" w:eastAsia="方正仿宋_GBK"/>
          <w:b/>
          <w:color w:val="auto"/>
          <w:sz w:val="28"/>
          <w:lang w:val="en-US" w:eastAsia="zh-CN"/>
        </w:rPr>
        <w:t>8、全市供水一体化项目建议书经费</w:t>
      </w:r>
      <w:r>
        <w:rPr>
          <w:rFonts w:hint="eastAsia" w:ascii="方正仿宋_GBK" w:eastAsia="方正仿宋_GBK"/>
          <w:b/>
          <w:color w:val="auto"/>
          <w:sz w:val="28"/>
        </w:rPr>
        <w:t>绩效目标表</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3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2008"/>
        <w:gridCol w:w="2444"/>
        <w:gridCol w:w="3175"/>
        <w:gridCol w:w="1650"/>
        <w:gridCol w:w="2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62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1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通过泽荣集团工程设计咨询有限公司编制成果的交付使用，达到有效推进霸州市全域供水管网升级改造工程，从而实现城乡供水一体化的供水目标。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162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08"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数量指标</w:t>
            </w:r>
          </w:p>
        </w:tc>
        <w:tc>
          <w:tcPr>
            <w:tcW w:w="2444"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项目建议书编制数量</w:t>
            </w:r>
          </w:p>
        </w:tc>
        <w:tc>
          <w:tcPr>
            <w:tcW w:w="3175"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项目建议书编制装订完成交付使用数量</w:t>
            </w:r>
          </w:p>
        </w:tc>
        <w:tc>
          <w:tcPr>
            <w:tcW w:w="1650"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≥6.00份</w:t>
            </w:r>
          </w:p>
        </w:tc>
        <w:tc>
          <w:tcPr>
            <w:tcW w:w="2235"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质量指标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项目建议书编制准确率</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项目建议书准确内容占全部编制内容的比例</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≥90.00%</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162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时效指标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项目建议书编制完成时间</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项目建议书编制完成交付使用时间</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≤3.00月</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成本指标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项目建议书编制成本控制数额</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项目建议书编制费用实际支出额</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≤17.50万元</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可持续影响指标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项目建议书对工程实施的指导参考</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项目建议书对工程建设的指导参考年限</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≥20.00年</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62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社会效益指标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指导项目开展</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项目建议书对项目开展的指导、规范作用</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有效保障</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8" w:hRule="atLeast"/>
          <w:jc w:val="center"/>
        </w:trPr>
        <w:tc>
          <w:tcPr>
            <w:tcW w:w="162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受益群众满意度</w:t>
            </w:r>
          </w:p>
        </w:tc>
        <w:tc>
          <w:tcPr>
            <w:tcW w:w="31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受益群体调查中，满意和较满意的人数占全部调查人数的比例</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≥90.00%</w:t>
            </w:r>
          </w:p>
        </w:tc>
        <w:tc>
          <w:tcPr>
            <w:tcW w:w="2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9、霸州市崔庄子桥重建工程资金绩效目标表</w:t>
      </w:r>
    </w:p>
    <w:tbl>
      <w:tblPr>
        <w:tblStyle w:val="4"/>
        <w:tblW w:w="13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2045"/>
        <w:gridCol w:w="2484"/>
        <w:gridCol w:w="3168"/>
        <w:gridCol w:w="1644"/>
        <w:gridCol w:w="2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15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37"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1.3月底前完成工程结算审核并出具审核报告</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2.6月底前完成全部工程费用的支付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tblHeader/>
          <w:jc w:val="center"/>
        </w:trPr>
        <w:tc>
          <w:tcPr>
            <w:tcW w:w="15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审计结算报告数量</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完成审计结算报告数量</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1个</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相关财政规定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82" w:hRule="atLeast"/>
          <w:jc w:val="center"/>
        </w:trPr>
        <w:tc>
          <w:tcPr>
            <w:tcW w:w="156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工程验收合格率</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通过验收的工程量占建设、改造、修缮总量的比率</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《水利水电工程施工质量检验与评定规程》（SL176-2007）、《水利水电建设工程验收规程》（SL223-2008）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审计完成和费用支付时间</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是否按计划完成审计和费用支付</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≤6月份</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年度资金拨付金额</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不超过本年度预算金额</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≤434万元</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45"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建成工程投入使用率</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投入使用工程占建成工程的比率</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5"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施工有责投诉数</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考察施工单位有责任的投诉数量</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&lt;1起</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7" w:hRule="atLeast"/>
          <w:jc w:val="center"/>
        </w:trPr>
        <w:tc>
          <w:tcPr>
            <w:tcW w:w="156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工程可持续使用时间</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达到保证使用年限</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≥50年</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4" w:hRule="atLeast"/>
          <w:jc w:val="center"/>
        </w:trPr>
        <w:tc>
          <w:tcPr>
            <w:tcW w:w="15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8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受益群体调查中，满意和较满意的人数占全部调查人数的比率</w:t>
            </w:r>
          </w:p>
        </w:tc>
        <w:tc>
          <w:tcPr>
            <w:tcW w:w="16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问卷调查</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10、王庄子乡靳家堡村围埝加固、中亭河南小埝加固工程项目资金</w:t>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2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2012"/>
        <w:gridCol w:w="2396"/>
        <w:gridCol w:w="3087"/>
        <w:gridCol w:w="1641"/>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blHeader/>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26"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lang w:val="en-US" w:eastAsia="zh-CN"/>
              </w:rPr>
              <w:t>通过对王庄子乡靳家堡村围埝和中亭河南小埝进行加固，确保汛期安全。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blHeader/>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157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加固工程数量</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完成王庄子乡靳家堡村围埝和中亭河南小埝进行加固。</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2条</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1574"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项目（工程）验收合格率</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实际验收合格工程量占已完成工程量的比率</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rPr>
            </w:pP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1574"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项目（工程）完成及时率</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工程施工按工作进度执行的工作量占工程完工总量的比率</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jc w:val="center"/>
        </w:trPr>
        <w:tc>
          <w:tcPr>
            <w:tcW w:w="15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项目成本控制数</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项目预算金额42.78万元</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≤42.78万元</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确保汛期安全度汛</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通过对王庄子乡靳家堡村围埝和中亭河南小埝进行加固，确保汛期安全。</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效果显著</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0" w:hRule="atLeast"/>
          <w:jc w:val="center"/>
        </w:trPr>
        <w:tc>
          <w:tcPr>
            <w:tcW w:w="15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3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受益村民满意度（%）</w:t>
            </w:r>
          </w:p>
        </w:tc>
        <w:tc>
          <w:tcPr>
            <w:tcW w:w="30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受益村民满意和较满意数量占受调查总数的比例</w:t>
            </w:r>
          </w:p>
        </w:tc>
        <w:tc>
          <w:tcPr>
            <w:tcW w:w="16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jc w:val="left"/>
        <w:outlineLvl w:val="1"/>
        <w:rPr>
          <w:rFonts w:hint="eastAsia" w:ascii="方正仿宋_GBK" w:eastAsia="方正仿宋_GBK"/>
          <w:b/>
          <w:color w:val="auto"/>
          <w:sz w:val="28"/>
          <w:lang w:val="en-US" w:eastAsia="zh-CN"/>
        </w:rPr>
      </w:pPr>
    </w:p>
    <w:p>
      <w:p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11、霸州市城乡供水水源置换规划编制资金</w:t>
      </w:r>
      <w:r>
        <w:rPr>
          <w:rFonts w:hint="eastAsia" w:ascii="宋体" w:hAnsi="宋体" w:eastAsia="宋体" w:cs="宋体"/>
          <w:color w:val="auto"/>
          <w:sz w:val="28"/>
          <w:szCs w:val="28"/>
          <w:lang w:eastAsia="zh-CN"/>
        </w:rPr>
        <w:t>★</w:t>
      </w:r>
      <w:r>
        <w:rPr>
          <w:rFonts w:hint="eastAsia" w:ascii="方正仿宋_GBK" w:eastAsia="方正仿宋_GBK"/>
          <w:b/>
          <w:color w:val="auto"/>
          <w:sz w:val="28"/>
        </w:rPr>
        <w:t>绩效目标表</w:t>
      </w:r>
    </w:p>
    <w:tbl>
      <w:tblPr>
        <w:tblStyle w:val="4"/>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1974"/>
        <w:gridCol w:w="2417"/>
        <w:gridCol w:w="3127"/>
        <w:gridCol w:w="1609"/>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0"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77"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2021年3月前完成合同金额支付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0"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完成编制规划数</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完成霸州市城乡供水水源置换规划编制</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1个</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提交规划成果数</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完成规划成果提交，包括规划报告、示意图、项目情况表</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3项</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规划编制提纲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城乡供水水源置换规划审核通过率</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是否通过霸州市规委会和廊坊市水利局的审核</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是</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8" w:hRule="atLeast"/>
          <w:jc w:val="center"/>
        </w:trPr>
        <w:tc>
          <w:tcPr>
            <w:tcW w:w="1543"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完成期限</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不超过计划完成时限</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≤60日历天</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8" w:hRule="atLeast"/>
          <w:jc w:val="center"/>
        </w:trPr>
        <w:tc>
          <w:tcPr>
            <w:tcW w:w="1543"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实际支付金额</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是否按照中标合同金额</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138.74万元</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4" w:hRule="atLeast"/>
          <w:jc w:val="center"/>
        </w:trPr>
        <w:tc>
          <w:tcPr>
            <w:tcW w:w="154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置换引江水覆盖率</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规划置换为引江水水源的城镇、开发区、企业、农村数占全市总数的比率</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154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规划目标水平年达到情况</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规划水平年是否达到近期2022，中期2025年，远期2035年</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达到</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规划编制提纲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服务对象满意度</w:t>
            </w:r>
          </w:p>
        </w:tc>
        <w:tc>
          <w:tcPr>
            <w:tcW w:w="31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服务单位人员满意和较满意人数占总人数的占比</w:t>
            </w:r>
          </w:p>
        </w:tc>
        <w:tc>
          <w:tcPr>
            <w:tcW w:w="16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0"/>
        </w:numPr>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12、霸州市农村生活水源置换项目勘察及实施方案编制费绩效目标</w:t>
      </w:r>
    </w:p>
    <w:tbl>
      <w:tblPr>
        <w:tblStyle w:val="4"/>
        <w:tblW w:w="12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1988"/>
        <w:gridCol w:w="2431"/>
        <w:gridCol w:w="3146"/>
        <w:gridCol w:w="1619"/>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blHeader/>
          <w:jc w:val="center"/>
        </w:trPr>
        <w:tc>
          <w:tcPr>
            <w:tcW w:w="15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47"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通过霸州市农村生活水源江水置换项目勘察及实施方案的完成及相应工程的实施，达到全市农村生活水源江水置换、农村群众安全用水的目标。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5" w:hRule="atLeast"/>
          <w:tblHeader/>
          <w:jc w:val="center"/>
        </w:trPr>
        <w:tc>
          <w:tcPr>
            <w:tcW w:w="15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88"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1"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实施方案编制数量</w:t>
            </w:r>
          </w:p>
        </w:tc>
        <w:tc>
          <w:tcPr>
            <w:tcW w:w="3146"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实施方案编制装订完成交付使用数量</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6.00份</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勘察及实施方案编制准确率</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勘察、编制准确内容占全部勘察、编制内容的比例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≥90%</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7" w:hRule="atLeast"/>
          <w:jc w:val="center"/>
        </w:trPr>
        <w:tc>
          <w:tcPr>
            <w:tcW w:w="1553"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实施方案完成时间</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实施方案编制完成交付使用时间</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≤8月份</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勘察及实施方案编制成本控制数额</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 xml:space="preserve">项目勘察及实施方案编制费用实际支出额  </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≤361.60万元</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553"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实施方案对工程实施的指导参考性</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项目实施方案对工程建设的指导参考年限</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≥15年</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7" w:hRule="atLeast"/>
          <w:jc w:val="center"/>
        </w:trPr>
        <w:tc>
          <w:tcPr>
            <w:tcW w:w="155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供水合格率</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合格供水量占总供水量的比例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≥90%</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atLeast"/>
          <w:jc w:val="center"/>
        </w:trPr>
        <w:tc>
          <w:tcPr>
            <w:tcW w:w="15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受益群众满意度</w:t>
            </w:r>
          </w:p>
        </w:tc>
        <w:tc>
          <w:tcPr>
            <w:tcW w:w="3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13、市自来水公司补贴资金</w:t>
      </w:r>
      <w:r>
        <w:rPr>
          <w:rFonts w:hint="eastAsia" w:ascii="宋体" w:hAnsi="宋体" w:eastAsia="宋体" w:cs="宋体"/>
          <w:color w:val="auto"/>
          <w:sz w:val="28"/>
          <w:szCs w:val="28"/>
          <w:lang w:eastAsia="zh-CN"/>
        </w:rPr>
        <w:t>★</w:t>
      </w:r>
      <w:r>
        <w:rPr>
          <w:rFonts w:hint="eastAsia" w:ascii="方正仿宋_GBK" w:eastAsia="方正仿宋_GBK"/>
          <w:b/>
          <w:color w:val="auto"/>
          <w:sz w:val="28"/>
        </w:rPr>
        <w:t>绩效目标表</w:t>
      </w:r>
    </w:p>
    <w:tbl>
      <w:tblPr>
        <w:tblStyle w:val="4"/>
        <w:tblW w:w="12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1"/>
        <w:gridCol w:w="1971"/>
        <w:gridCol w:w="2413"/>
        <w:gridCol w:w="3123"/>
        <w:gridCol w:w="1606"/>
        <w:gridCol w:w="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tblHeader/>
          <w:jc w:val="center"/>
        </w:trPr>
        <w:tc>
          <w:tcPr>
            <w:tcW w:w="15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59"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6"/>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通过实施市区自来水管网维护，供水设备运行电费、职工福利费等内容，保证供水设备的正常运行。</w:t>
            </w:r>
          </w:p>
          <w:p>
            <w:pPr>
              <w:numPr>
                <w:ilvl w:val="0"/>
                <w:numId w:val="6"/>
              </w:numPr>
              <w:spacing w:line="300" w:lineRule="exact"/>
              <w:jc w:val="left"/>
              <w:rPr>
                <w:rFonts w:hint="eastAsia" w:ascii="方正书宋_GBK" w:eastAsia="方正书宋_GBK"/>
                <w:b/>
                <w:color w:val="auto"/>
                <w:lang w:val="en-US" w:eastAsia="zh-CN"/>
              </w:rPr>
            </w:pPr>
            <w:r>
              <w:rPr>
                <w:rFonts w:hint="eastAsia" w:ascii="方正书宋_GBK" w:eastAsia="方正书宋_GBK"/>
                <w:color w:val="auto"/>
                <w:lang w:val="en-US" w:eastAsia="zh-CN"/>
              </w:rPr>
              <w:t>确</w:t>
            </w:r>
            <w:r>
              <w:rPr>
                <w:rFonts w:hint="eastAsia" w:ascii="方正书宋_GBK" w:eastAsia="方正书宋_GBK"/>
                <w:color w:val="auto"/>
                <w:lang w:eastAsia="zh-CN"/>
              </w:rPr>
              <w:t>保市区</w:t>
            </w:r>
            <w:r>
              <w:rPr>
                <w:rFonts w:hint="eastAsia" w:ascii="方正书宋_GBK" w:eastAsia="方正书宋_GBK"/>
                <w:color w:val="auto"/>
                <w:lang w:val="en-US" w:eastAsia="zh-CN"/>
              </w:rPr>
              <w:t>46000户居民基本生产生活用水安全。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tblHeader/>
          <w:jc w:val="center"/>
        </w:trPr>
        <w:tc>
          <w:tcPr>
            <w:tcW w:w="15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7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数量指标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800万立方米</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市区管网维护量</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当年市区基本公共供水管网维护量</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32平方公里</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质量指标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生活饮用水卫生标准</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水质监测报告达到标准的比例</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时效指标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供水管网维护及时率</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按照要求和计划完成供水管网维护</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 w:hRule="atLeast"/>
          <w:jc w:val="center"/>
        </w:trPr>
        <w:tc>
          <w:tcPr>
            <w:tcW w:w="154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成本指标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成本控制数</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控制补贴资金实际支出额度</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80万元</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jc w:val="center"/>
        </w:trPr>
        <w:tc>
          <w:tcPr>
            <w:tcW w:w="1541"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社会效益指标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46000户</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8" w:hRule="atLeast"/>
          <w:jc w:val="center"/>
        </w:trPr>
        <w:tc>
          <w:tcPr>
            <w:tcW w:w="15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服务对象满意度指标</w:t>
            </w:r>
          </w:p>
        </w:tc>
        <w:tc>
          <w:tcPr>
            <w:tcW w:w="24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群众满意度</w:t>
            </w:r>
          </w:p>
        </w:tc>
        <w:tc>
          <w:tcPr>
            <w:tcW w:w="312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市区群众对当年供水情况整体满意度</w:t>
            </w:r>
          </w:p>
        </w:tc>
        <w:tc>
          <w:tcPr>
            <w:tcW w:w="16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85%</w:t>
            </w:r>
          </w:p>
        </w:tc>
        <w:tc>
          <w:tcPr>
            <w:tcW w:w="2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14、王庄子乡扬水站、靳家堡村扬水站设备采购、维护及维修项目资金</w:t>
      </w:r>
    </w:p>
    <w:tbl>
      <w:tblPr>
        <w:tblStyle w:val="4"/>
        <w:tblW w:w="127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1956"/>
        <w:gridCol w:w="2394"/>
        <w:gridCol w:w="3098"/>
        <w:gridCol w:w="1593"/>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2" w:hRule="atLeast"/>
          <w:tblHeader/>
          <w:jc w:val="center"/>
        </w:trPr>
        <w:tc>
          <w:tcPr>
            <w:tcW w:w="15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171"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通过对王庄子乡扬水站、靳家堡村扬水站设备采购、维护及维修。确保安全汛期。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2" w:hRule="atLeast"/>
          <w:tblHeader/>
          <w:jc w:val="center"/>
        </w:trPr>
        <w:tc>
          <w:tcPr>
            <w:tcW w:w="15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数量指标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实际完成率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完成维修采购清单内的所有内容</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4台</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质量指标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购置质量合格率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购置质量合格的材料占购置总量的比率</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100%</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2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时效指标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项目按时完成率</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此项目汛期前按时完成比率</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100%</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成本指标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项目成本控制数</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控制设备采购、维护维修的实际支出额度</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≤48.9万元</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529"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社会效益指标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发生重大安全事故起数</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因设备故障，而发生重大安全事故起数</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＜1次</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15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服务对象满意度指标</w:t>
            </w:r>
          </w:p>
        </w:tc>
        <w:tc>
          <w:tcPr>
            <w:tcW w:w="23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受益村民满意度（%）</w:t>
            </w:r>
          </w:p>
        </w:tc>
        <w:tc>
          <w:tcPr>
            <w:tcW w:w="30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受益村民满意和较满意数量占受调查总数的比例</w:t>
            </w:r>
          </w:p>
        </w:tc>
        <w:tc>
          <w:tcPr>
            <w:tcW w:w="15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spacing w:line="300" w:lineRule="exact"/>
        <w:jc w:val="left"/>
        <w:rPr>
          <w:rFonts w:hint="eastAsia" w:ascii="方正书宋_GBK" w:eastAsia="方正书宋_GBK"/>
          <w:b/>
          <w:bCs/>
          <w:color w:val="auto"/>
          <w:sz w:val="28"/>
          <w:szCs w:val="28"/>
          <w:lang w:val="en-US" w:eastAsia="zh-CN"/>
        </w:rPr>
      </w:pPr>
    </w:p>
    <w:p>
      <w:pPr>
        <w:numPr>
          <w:ilvl w:val="0"/>
          <w:numId w:val="7"/>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河长制办公室工作经费绩效目标表</w:t>
      </w:r>
    </w:p>
    <w:tbl>
      <w:tblPr>
        <w:tblStyle w:val="4"/>
        <w:tblW w:w="12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1978"/>
        <w:gridCol w:w="2420"/>
        <w:gridCol w:w="3132"/>
        <w:gridCol w:w="1611"/>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3"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94"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8"/>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通过组织拍摄河湖高清影像宣传片，参加全国、省、市“秀美河湖”评选活动以及河长制日常多种形式宣传活动、宣传广告等，达到加强公众保护河渠生态环境意识。</w:t>
            </w:r>
          </w:p>
          <w:p>
            <w:pPr>
              <w:numPr>
                <w:ilvl w:val="0"/>
                <w:numId w:val="8"/>
              </w:numPr>
              <w:spacing w:line="300" w:lineRule="exact"/>
              <w:jc w:val="left"/>
              <w:rPr>
                <w:rFonts w:hint="eastAsia" w:ascii="方正书宋_GBK" w:eastAsia="方正书宋_GBK"/>
                <w:b/>
                <w:color w:val="auto"/>
              </w:rPr>
            </w:pPr>
            <w:r>
              <w:rPr>
                <w:rFonts w:hint="eastAsia" w:ascii="方正书宋_GBK" w:eastAsia="方正书宋_GBK"/>
                <w:b w:val="0"/>
                <w:bCs/>
                <w:color w:val="auto"/>
              </w:rPr>
              <w:t>通过组织开展公示牌维修维护更新更换工作，使公示牌能保持完整、整洁，河长名单更新及时，使公众更好的参与了解、监督我市河渠生态环境保护中来。</w:t>
            </w:r>
          </w:p>
          <w:p>
            <w:pPr>
              <w:numPr>
                <w:ilvl w:val="0"/>
                <w:numId w:val="8"/>
              </w:numPr>
              <w:spacing w:line="300" w:lineRule="exact"/>
              <w:jc w:val="left"/>
              <w:rPr>
                <w:rFonts w:hint="eastAsia" w:ascii="方正书宋_GBK" w:eastAsia="方正书宋_GBK"/>
                <w:b/>
                <w:color w:val="auto"/>
              </w:rPr>
            </w:pPr>
            <w:r>
              <w:rPr>
                <w:rFonts w:hint="eastAsia" w:ascii="方正书宋_GBK" w:eastAsia="方正书宋_GBK"/>
                <w:b w:val="0"/>
                <w:bCs/>
                <w:color w:val="auto"/>
              </w:rPr>
              <w:t>通过霸州市纳入河长制管理的19条河渠，全程234.6公里，开展河长制巡査，强化河道管理保护。更好的推进我市河长制工作。</w:t>
            </w:r>
          </w:p>
          <w:p>
            <w:pPr>
              <w:numPr>
                <w:ilvl w:val="0"/>
                <w:numId w:val="8"/>
              </w:numPr>
              <w:spacing w:line="300" w:lineRule="exact"/>
              <w:jc w:val="left"/>
              <w:rPr>
                <w:rFonts w:hint="eastAsia" w:ascii="方正书宋_GBK" w:eastAsia="方正书宋_GBK"/>
                <w:b/>
                <w:color w:val="auto"/>
              </w:rPr>
            </w:pPr>
            <w:r>
              <w:rPr>
                <w:rFonts w:hint="eastAsia" w:ascii="方正书宋_GBK" w:eastAsia="方正书宋_GBK"/>
                <w:b w:val="0"/>
                <w:bCs/>
                <w:color w:val="auto"/>
                <w:lang w:val="en-US" w:eastAsia="zh-CN"/>
              </w:rPr>
              <w:t>通过对全市15个乡镇（区、办）河长制工作开展情况，按季度评估以及年度评估考核等工作更好的将河长制六项职责落实到底。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7"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巡查长度</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巡查我市市级河长长度</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≥234公里</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考核评估</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考核评估乡镇数量</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15个</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巡查覆盖</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巡查达到我市市级河流全覆盖</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19条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考核频次</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考核评估次数</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4次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河长制公示牌</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全市河长制维修维护、更新更换公示牌数量</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212块</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河长制宣传活动</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组织开展宣传活动数量</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≥4次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 xml:space="preserve">河长制巡查工作验收合格率 </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河长制巡查工作验收合格率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含问题照片、种类、数量面积及位置坐标</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河长制宣传片验收合格率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河长制宣传片验收合格率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≥100%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项目成本控制</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项目成本控制以合同为准</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19万元</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宣传片成本控制以合同为准</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26万元</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评估考核</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评估考核工作实效</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≤3月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河长制宣传片</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宣传片拍摄完成时间</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4" w:hRule="atLeast"/>
          <w:jc w:val="center"/>
        </w:trPr>
        <w:tc>
          <w:tcPr>
            <w:tcW w:w="1546"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7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对河渠清理整治工作的作用</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做好巡查报告、巡查台账、河渠档案、问题清单等项目成果资料存档工作，展示成效和问题，向河长办公室提交，为下一步河渠治理工作提供线索和资料。</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效果显著</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6"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提升群众保护环境认知与参与度</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做好河长制宣传工作展示成效，通过组织宣传活动，让群众参与到巡河护河活动中来，提高群众保护河渠意识。</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有效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46"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有效推动河长制工作</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推动河长制工作落地见效</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有效</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2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群众对河长制工作的满意和较满意的数量占调查总人数的比率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16、霸州净水厂及配水管网工程质量检测费项目资金绩效目标表</w:t>
      </w:r>
    </w:p>
    <w:tbl>
      <w:tblPr>
        <w:tblStyle w:val="4"/>
        <w:tblW w:w="12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959"/>
        <w:gridCol w:w="2398"/>
        <w:gridCol w:w="3103"/>
        <w:gridCol w:w="1596"/>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5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188"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b w:val="0"/>
                <w:bCs/>
                <w:color w:val="auto"/>
              </w:rPr>
              <w:t>通过委托检测机构对南水北调霸州市配套工程（生产主体工程、附属配套工程）进行全面质量检测，达到住建局对该工程质量出具认定意见的目的。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blHeader/>
          <w:jc w:val="center"/>
        </w:trPr>
        <w:tc>
          <w:tcPr>
            <w:tcW w:w="15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工程质量检测报告编制数量</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工程质量检测报告编制装订完成交付使用数量</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6份</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工程质量检测报告编制准确率</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工程质量检测报告准确内容占全部编制内容的比例</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工程质量检测报告完成时间</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工程质量检测报告编制完成交付使用时间</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lang w:val="en-US" w:eastAsia="zh-CN"/>
              </w:rPr>
              <w:t>≤3月</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工程质量检测报告编制成本控制数额</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工程质量检测报告编制费用实际支出额</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≤56万元</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对工程质量的保障</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保障工程质量符合国家建设标准</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对工程质量验收的参考性</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保障工程质量符合国家建设标准</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3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受益群众满意</w:t>
            </w:r>
          </w:p>
        </w:tc>
        <w:tc>
          <w:tcPr>
            <w:tcW w:w="31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受益群体调查中，满意和较满意的人数占全部调查人数的比例</w:t>
            </w: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17、关于提前下达2021年中央水库移民扶持基金预算的通知（冀财农[2020]126号）绩效目标表</w:t>
      </w:r>
    </w:p>
    <w:tbl>
      <w:tblPr>
        <w:tblStyle w:val="4"/>
        <w:tblW w:w="12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952"/>
        <w:gridCol w:w="2391"/>
        <w:gridCol w:w="3094"/>
        <w:gridCol w:w="1590"/>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 w:hRule="atLeast"/>
          <w:tblHeader/>
          <w:jc w:val="center"/>
        </w:trPr>
        <w:tc>
          <w:tcPr>
            <w:tcW w:w="1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15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rPr>
              <w:t>响应国家政策，44人移民款全部按规定审核发放到位，增加移民收入。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39" w:hRule="atLeast"/>
          <w:tblHeader/>
          <w:jc w:val="center"/>
        </w:trPr>
        <w:tc>
          <w:tcPr>
            <w:tcW w:w="1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 w:hRule="atLeast"/>
          <w:jc w:val="center"/>
        </w:trPr>
        <w:tc>
          <w:tcPr>
            <w:tcW w:w="1527"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1952"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数量指标</w:t>
            </w:r>
          </w:p>
        </w:tc>
        <w:tc>
          <w:tcPr>
            <w:tcW w:w="2391"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资金直补受益移民 </w:t>
            </w:r>
          </w:p>
        </w:tc>
        <w:tc>
          <w:tcPr>
            <w:tcW w:w="3094" w:type="dxa"/>
            <w:tcBorders>
              <w:top w:val="single" w:color="000000" w:sz="6" w:space="0"/>
              <w:left w:val="single" w:color="000000" w:sz="6" w:space="0"/>
              <w:bottom w:val="single" w:color="000000" w:sz="6" w:space="0"/>
              <w:right w:val="single" w:color="000000" w:sz="6" w:space="0"/>
            </w:tcBorders>
            <w:vAlign w:val="top"/>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直补受益移民人数</w:t>
            </w:r>
          </w:p>
        </w:tc>
        <w:tc>
          <w:tcPr>
            <w:tcW w:w="1590"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rPr>
              <w:t>44人</w:t>
            </w:r>
          </w:p>
        </w:tc>
        <w:tc>
          <w:tcPr>
            <w:tcW w:w="2126"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 w:hRule="atLeast"/>
          <w:jc w:val="center"/>
        </w:trPr>
        <w:tc>
          <w:tcPr>
            <w:tcW w:w="1527"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质量指标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项目完成率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项目是否完成</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是</w:t>
            </w:r>
          </w:p>
        </w:tc>
        <w:tc>
          <w:tcPr>
            <w:tcW w:w="2126"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66" w:hRule="atLeast"/>
          <w:jc w:val="center"/>
        </w:trPr>
        <w:tc>
          <w:tcPr>
            <w:tcW w:w="1527"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时效指标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直补资金按时发放率 </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直补资金按时发放金额占应发放金额的比率</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rPr>
            </w:pPr>
            <w:r>
              <w:rPr>
                <w:rFonts w:hint="eastAsia" w:ascii="方正书宋_GBK" w:eastAsia="方正书宋_GBK"/>
                <w:color w:val="auto"/>
              </w:rPr>
              <w:t>100%</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6" w:hRule="atLeast"/>
          <w:jc w:val="center"/>
        </w:trPr>
        <w:tc>
          <w:tcPr>
            <w:tcW w:w="152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成本指标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水库移民补助标准</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上半年300元每人，下半年300元每人。</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rPr>
              <w:t>600元</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6" w:hRule="atLeast"/>
          <w:jc w:val="center"/>
        </w:trPr>
        <w:tc>
          <w:tcPr>
            <w:tcW w:w="1527"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经济效益指标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增加移民人均可支配收入 </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增加移民人均可支配收入金额</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rPr>
              <w:t>600元</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39" w:hRule="atLeast"/>
          <w:jc w:val="center"/>
        </w:trPr>
        <w:tc>
          <w:tcPr>
            <w:tcW w:w="152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社会效益指标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 xml:space="preserve">助力移民脱贫 </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助力移民脱贫人次</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rPr>
              <w:t>44人</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77" w:hRule="atLeast"/>
          <w:jc w:val="center"/>
        </w:trPr>
        <w:tc>
          <w:tcPr>
            <w:tcW w:w="15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195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3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移民</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对移民的满意度调查</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≥90%</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numPr>
          <w:ilvl w:val="0"/>
          <w:numId w:val="0"/>
        </w:numPr>
        <w:spacing w:line="300" w:lineRule="exact"/>
        <w:jc w:val="left"/>
        <w:rPr>
          <w:rFonts w:hint="eastAsia" w:ascii="方正仿宋_GBK" w:eastAsia="方正仿宋_GBK"/>
          <w:b/>
          <w:color w:val="auto"/>
          <w:sz w:val="28"/>
        </w:rPr>
      </w:pPr>
    </w:p>
    <w:p>
      <w:pPr>
        <w:numPr>
          <w:ilvl w:val="0"/>
          <w:numId w:val="0"/>
        </w:numPr>
        <w:spacing w:line="300" w:lineRule="exact"/>
        <w:jc w:val="left"/>
        <w:rPr>
          <w:rFonts w:hint="eastAsia" w:ascii="方正仿宋_GBK" w:eastAsia="方正仿宋_GBK"/>
          <w:b/>
          <w:color w:val="auto"/>
          <w:sz w:val="28"/>
        </w:rPr>
      </w:pPr>
      <w:r>
        <w:rPr>
          <w:rFonts w:hint="eastAsia" w:ascii="方正书宋_GBK" w:eastAsia="方正书宋_GBK"/>
          <w:b/>
          <w:bCs/>
          <w:color w:val="auto"/>
          <w:sz w:val="28"/>
          <w:szCs w:val="28"/>
          <w:lang w:val="en-US" w:eastAsia="zh-CN"/>
        </w:rPr>
        <w:t>18、市区水厂水费资金</w:t>
      </w:r>
      <w:r>
        <w:rPr>
          <w:rFonts w:hint="eastAsia" w:ascii="宋体" w:hAnsi="宋体" w:eastAsia="宋体" w:cs="宋体"/>
          <w:color w:val="auto"/>
          <w:sz w:val="28"/>
          <w:szCs w:val="28"/>
          <w:lang w:eastAsia="zh-CN"/>
        </w:rPr>
        <w:t>★</w:t>
      </w:r>
      <w:r>
        <w:rPr>
          <w:rFonts w:hint="eastAsia" w:ascii="方正仿宋_GBK" w:eastAsia="方正仿宋_GBK"/>
          <w:b/>
          <w:color w:val="auto"/>
          <w:sz w:val="28"/>
        </w:rPr>
        <w:t>绩效目标表</w:t>
      </w:r>
    </w:p>
    <w:p>
      <w:pPr>
        <w:numPr>
          <w:ilvl w:val="0"/>
          <w:numId w:val="0"/>
        </w:numPr>
        <w:spacing w:line="300" w:lineRule="exact"/>
        <w:jc w:val="left"/>
        <w:rPr>
          <w:rFonts w:hint="eastAsia" w:ascii="方正仿宋_GBK" w:eastAsia="方正仿宋_GBK"/>
          <w:b/>
          <w:color w:val="auto"/>
          <w:sz w:val="28"/>
          <w:lang w:val="en-US" w:eastAsia="zh-CN"/>
        </w:rPr>
      </w:pPr>
    </w:p>
    <w:tbl>
      <w:tblPr>
        <w:tblStyle w:val="4"/>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1991"/>
        <w:gridCol w:w="2435"/>
        <w:gridCol w:w="3073"/>
        <w:gridCol w:w="1629"/>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tblHeader/>
          <w:jc w:val="center"/>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73"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9"/>
              </w:numPr>
              <w:spacing w:line="300" w:lineRule="exact"/>
              <w:jc w:val="both"/>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完成支付市区南水北调水厂部分水费100万元，提高水厂运行效率；</w:t>
            </w:r>
          </w:p>
          <w:p>
            <w:pPr>
              <w:numPr>
                <w:ilvl w:val="0"/>
                <w:numId w:val="9"/>
              </w:numPr>
              <w:spacing w:line="300" w:lineRule="exact"/>
              <w:jc w:val="both"/>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加快南水北调引江水消纳，促进市区居民尽快使用南水北调水，促进市区供水能力达到2万吨/日目标。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 w:hRule="atLeast"/>
          <w:tblHeader/>
          <w:jc w:val="center"/>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日供水量（万吨）</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市区实际使用水厂供水水量（万吨/日）</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≥50万吨/日</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《霸州市市区供水合同》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供水水压保障率（%）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市区供水水压满足要求比例（%）</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《河北省供水管理条例》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市区供水间断率（%）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市区供水间断供水时长占正常供水时长比例（%）</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霸州市水务局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市区供水成本增长率(%)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供水成本增长比率,低于社会平均物价增长成本水平(%)</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《河北省供水管理条例》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市区供水区域增长比例（%）</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水厂供水区域占市区总供水区域的增长比例（%）</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≥20%</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霸州市水务局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7" w:hRule="atLeast"/>
          <w:jc w:val="center"/>
        </w:trPr>
        <w:tc>
          <w:tcPr>
            <w:tcW w:w="154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市区地下水位压采比例下降率(%)</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市区地下水位压采比例持续降至标准水位</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≥20%</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霸州市水务局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15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服务对象满意度指标</w:t>
            </w:r>
          </w:p>
        </w:tc>
        <w:tc>
          <w:tcPr>
            <w:tcW w:w="24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受益群满意度（%）</w:t>
            </w:r>
          </w:p>
        </w:tc>
        <w:tc>
          <w:tcPr>
            <w:tcW w:w="30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受益群众调查中，满意和比较满意的人数占全部调查人数的比率（%）</w:t>
            </w:r>
          </w:p>
        </w:tc>
        <w:tc>
          <w:tcPr>
            <w:tcW w:w="162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《河北省供水管理条例》</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19、霸州市中亭河危桥重建工程（肖家堡桥）项目绩效目标表</w:t>
      </w:r>
    </w:p>
    <w:p>
      <w:pPr>
        <w:numPr>
          <w:ilvl w:val="0"/>
          <w:numId w:val="0"/>
        </w:numPr>
        <w:spacing w:line="300" w:lineRule="exact"/>
        <w:jc w:val="left"/>
        <w:rPr>
          <w:rFonts w:hint="eastAsia" w:ascii="方正书宋_GBK" w:eastAsia="方正书宋_GBK"/>
          <w:b/>
          <w:bCs/>
          <w:color w:val="auto"/>
          <w:sz w:val="28"/>
          <w:szCs w:val="28"/>
          <w:lang w:val="en-US" w:eastAsia="zh-CN"/>
        </w:rPr>
      </w:pPr>
    </w:p>
    <w:tbl>
      <w:tblPr>
        <w:tblStyle w:val="4"/>
        <w:tblW w:w="12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2008"/>
        <w:gridCol w:w="2438"/>
        <w:gridCol w:w="3110"/>
        <w:gridCol w:w="1613"/>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6" w:hRule="atLeast"/>
          <w:tblHeader/>
          <w:jc w:val="center"/>
        </w:trPr>
        <w:tc>
          <w:tcPr>
            <w:tcW w:w="15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25"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1.完成霸州市中亭河危桥重建工程（肖家堡桥）设计招标、投资评审等前期工作，以及年度施工计划，为后续年度项目的实施打下坚实基础。</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w:t>
            </w:r>
            <w:r>
              <w:rPr>
                <w:rFonts w:hint="default" w:ascii="方正书宋_GBK" w:eastAsia="方正书宋_GBK"/>
                <w:color w:val="auto"/>
                <w:lang w:val="en-US" w:eastAsia="zh-CN"/>
              </w:rPr>
              <w:t>完成的工程内容全部验收合格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tblHeader/>
          <w:jc w:val="center"/>
        </w:trPr>
        <w:tc>
          <w:tcPr>
            <w:tcW w:w="15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535"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年度工程量完成率</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2021年完成工程量占总工程量的比率</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施工图设计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98" w:hRule="atLeast"/>
          <w:jc w:val="center"/>
        </w:trPr>
        <w:tc>
          <w:tcPr>
            <w:tcW w:w="1535"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工程合格率</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合格的工程占完成工程总量的比率</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《水利水电工程施工质量检验与评定规程》（SL176-2007）、《水利水电建设工程验收规程》（SL223-2008）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535"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年度工作完成时间</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按期完成本年度进度计划</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≤12月份</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535"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本年度工程费用支出控制数</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本年度工程控制数不超出本年度预算</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≤300万元</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6" w:hRule="atLeast"/>
          <w:jc w:val="center"/>
        </w:trPr>
        <w:tc>
          <w:tcPr>
            <w:tcW w:w="1535"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0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保障项目的水利实施</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是否能顺利完成图纸设计、投资评审等工作保证工程顺利开工实施</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是</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535"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0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惠及群众人数</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工程完成后惠及的村民人数</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3500人</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5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受益群体调查中，满意和较满意的人数占全部调查人数的比率</w:t>
            </w:r>
          </w:p>
        </w:tc>
        <w:tc>
          <w:tcPr>
            <w:tcW w:w="161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问卷调查</w:t>
            </w:r>
          </w:p>
        </w:tc>
      </w:tr>
    </w:tbl>
    <w:p>
      <w:pPr>
        <w:jc w:val="left"/>
        <w:outlineLvl w:val="1"/>
        <w:rPr>
          <w:rFonts w:hint="eastAsia" w:ascii="方正仿宋_GBK" w:eastAsia="方正仿宋_GBK"/>
          <w:b/>
          <w:color w:val="auto"/>
          <w:sz w:val="28"/>
          <w:lang w:val="en-US" w:eastAsia="zh-CN"/>
        </w:rPr>
      </w:pPr>
    </w:p>
    <w:p>
      <w:pPr>
        <w:jc w:val="left"/>
        <w:outlineLvl w:val="1"/>
        <w:rPr>
          <w:rFonts w:hAnsi="宋体"/>
          <w:b/>
          <w:color w:val="auto"/>
          <w:sz w:val="28"/>
        </w:rPr>
      </w:pPr>
      <w:r>
        <w:rPr>
          <w:rFonts w:hint="eastAsia" w:ascii="方正仿宋_GBK" w:eastAsia="方正仿宋_GBK"/>
          <w:b/>
          <w:color w:val="auto"/>
          <w:sz w:val="28"/>
          <w:lang w:val="en-US" w:eastAsia="zh-CN"/>
        </w:rPr>
        <w:t>20、水利工程管理处日常养护资金</w:t>
      </w:r>
      <w:r>
        <w:rPr>
          <w:rFonts w:ascii="方正仿宋_GBK" w:eastAsia="方正仿宋_GBK"/>
          <w:b/>
          <w:color w:val="auto"/>
          <w:sz w:val="28"/>
        </w:rPr>
        <w:t>（</w:t>
      </w:r>
      <w:r>
        <w:rPr>
          <w:rFonts w:hint="eastAsia" w:ascii="方正仿宋_GBK" w:eastAsia="方正仿宋_GBK"/>
          <w:b/>
          <w:color w:val="auto"/>
          <w:sz w:val="28"/>
        </w:rPr>
        <w:t>项目</w:t>
      </w:r>
      <w:r>
        <w:rPr>
          <w:rFonts w:ascii="方正仿宋_GBK" w:eastAsia="方正仿宋_GBK"/>
          <w:b/>
          <w:color w:val="auto"/>
          <w:sz w:val="28"/>
        </w:rPr>
        <w:t>名称）</w:t>
      </w:r>
      <w:r>
        <w:rPr>
          <w:rFonts w:hint="eastAsia" w:ascii="方正仿宋_GBK" w:eastAsia="方正仿宋_GBK"/>
          <w:b/>
          <w:color w:val="auto"/>
          <w:sz w:val="28"/>
        </w:rPr>
        <w:t>绩效目标表</w:t>
      </w:r>
      <w:r>
        <w:rPr>
          <w:rFonts w:hint="eastAsia" w:ascii="方正仿宋_GBK" w:eastAsia="方正仿宋_GBK"/>
          <w:b/>
          <w:color w:val="auto"/>
          <w:sz w:val="28"/>
        </w:rPr>
        <w:fldChar w:fldCharType="begin"/>
      </w:r>
      <w:r>
        <w:rPr>
          <w:rFonts w:hint="eastAsia" w:ascii="方正仿宋_GBK" w:eastAsia="方正仿宋_GBK"/>
          <w:b/>
          <w:color w:val="auto"/>
          <w:sz w:val="28"/>
        </w:rPr>
        <w:instrText xml:space="preserve"> TC 1、常委会经费绩效目标表 \f C \l 1 </w:instrText>
      </w:r>
      <w:r>
        <w:rPr>
          <w:rFonts w:hint="eastAsia" w:ascii="方正仿宋_GBK" w:eastAsia="方正仿宋_GBK"/>
          <w:b/>
          <w:color w:val="auto"/>
          <w:sz w:val="28"/>
        </w:rPr>
        <w:fldChar w:fldCharType="end"/>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2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1985"/>
        <w:gridCol w:w="2427"/>
        <w:gridCol w:w="3063"/>
        <w:gridCol w:w="1625"/>
        <w:gridCol w:w="2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37"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9"/>
              </w:numPr>
              <w:spacing w:line="300" w:lineRule="exact"/>
              <w:jc w:val="both"/>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完成消耗物料的采购更换、储备等工作</w:t>
            </w:r>
          </w:p>
          <w:p>
            <w:pPr>
              <w:numPr>
                <w:ilvl w:val="0"/>
                <w:numId w:val="9"/>
              </w:numPr>
              <w:spacing w:line="300" w:lineRule="exact"/>
              <w:jc w:val="both"/>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在不改变建筑物原有特征胡情况下进行维修养护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 w:hRule="atLeast"/>
          <w:tblHeader/>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 w:hRule="atLeast"/>
          <w:jc w:val="center"/>
        </w:trPr>
        <w:tc>
          <w:tcPr>
            <w:tcW w:w="15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实际完成率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完成维修采购清单内的所有内容</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购置质量合格率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购置质量合格的材料占购置总量比率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 w:hRule="atLeast"/>
          <w:jc w:val="center"/>
        </w:trPr>
        <w:tc>
          <w:tcPr>
            <w:tcW w:w="15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项目按时完成率</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此项目汛期前按时完成比率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项目成本控制数</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控制维修养护资金的实际支出额度</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37.5万元</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发生重大安全事故起数</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因设备故障，而发生重大安全事故的起数</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＜1次</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 w:hRule="atLeast"/>
          <w:jc w:val="center"/>
        </w:trPr>
        <w:tc>
          <w:tcPr>
            <w:tcW w:w="1543"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长期使用性</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是否能够长期较好的开展日常排水工作</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 w:hRule="atLeast"/>
          <w:jc w:val="center"/>
        </w:trPr>
        <w:tc>
          <w:tcPr>
            <w:tcW w:w="15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服务对象满意度指标</w:t>
            </w:r>
          </w:p>
        </w:tc>
        <w:tc>
          <w:tcPr>
            <w:tcW w:w="242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0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≥90%</w:t>
            </w:r>
          </w:p>
        </w:tc>
        <w:tc>
          <w:tcPr>
            <w:tcW w:w="21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lang w:val="en-US" w:eastAsia="zh-CN"/>
              </w:rPr>
              <w:t>计划指标</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21、中亭河邱庄子桥重建工程资金项目绩效目标表</w:t>
      </w:r>
    </w:p>
    <w:tbl>
      <w:tblPr>
        <w:tblStyle w:val="4"/>
        <w:tblW w:w="129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2024"/>
        <w:gridCol w:w="2457"/>
        <w:gridCol w:w="3134"/>
        <w:gridCol w:w="1625"/>
        <w:gridCol w:w="2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3"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14"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6月底前完成全部工程费用的支付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3" w:hRule="atLeast"/>
          <w:tblHeader/>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审计结算报告数量</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完成审计结算报告数量</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1个</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相关财政规定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37" w:hRule="atLeast"/>
          <w:jc w:val="center"/>
        </w:trPr>
        <w:tc>
          <w:tcPr>
            <w:tcW w:w="1546"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工程验收合格率</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通过验收的工程量占建设、改造、修缮总量的比率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《水利水电工程施工质量检验与评定规程》（SL176-2007）、《水利水电建设工程验收规程》（SL223-2008）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1546"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审计完成和费用支付时间</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是否按计划完成审计和费用支付</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≤6月份</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年度资金拨付金额</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不超过本年度预算金额</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≤220.47万元</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2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建成工程投入使用率</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投入使用工程占建成工程的比率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施工有责投诉数</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考察施工单位有责任的投诉数量</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&lt;1起</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1546"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可持续影响指标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工程可持续使用时间</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达到保证使用年限</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≥50年</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15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2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受益群体调查中，满意和较满意的人数占全部调查人数的比率</w:t>
            </w:r>
          </w:p>
        </w:tc>
        <w:tc>
          <w:tcPr>
            <w:tcW w:w="16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≥90%</w:t>
            </w:r>
          </w:p>
        </w:tc>
        <w:tc>
          <w:tcPr>
            <w:tcW w:w="21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问卷调查</w:t>
            </w:r>
          </w:p>
        </w:tc>
      </w:tr>
    </w:tbl>
    <w:p>
      <w:pPr>
        <w:numPr>
          <w:ilvl w:val="0"/>
          <w:numId w:val="0"/>
        </w:numPr>
        <w:spacing w:line="300" w:lineRule="exact"/>
        <w:jc w:val="left"/>
        <w:rPr>
          <w:rFonts w:hint="eastAsia" w:ascii="方正书宋_GBK" w:eastAsia="方正书宋_GBK"/>
          <w:b/>
          <w:bCs/>
          <w:color w:val="auto"/>
          <w:sz w:val="28"/>
          <w:szCs w:val="28"/>
          <w:lang w:val="en-US" w:eastAsia="zh-CN"/>
        </w:rPr>
      </w:pPr>
    </w:p>
    <w:p>
      <w:pPr>
        <w:numPr>
          <w:ilvl w:val="0"/>
          <w:numId w:val="0"/>
        </w:num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22、市自来水公司补贴资金项目绩效目标表</w:t>
      </w:r>
    </w:p>
    <w:p>
      <w:pPr>
        <w:spacing w:line="300" w:lineRule="exact"/>
        <w:jc w:val="left"/>
        <w:rPr>
          <w:rFonts w:hint="eastAsia" w:ascii="方正书宋_GBK" w:eastAsia="方正书宋_GBK"/>
          <w:b/>
          <w:bCs/>
          <w:color w:val="auto"/>
          <w:sz w:val="28"/>
          <w:szCs w:val="28"/>
          <w:lang w:val="en-US" w:eastAsia="zh-CN"/>
        </w:rPr>
      </w:pPr>
    </w:p>
    <w:tbl>
      <w:tblPr>
        <w:tblStyle w:val="4"/>
        <w:tblW w:w="13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2039"/>
        <w:gridCol w:w="2477"/>
        <w:gridCol w:w="3157"/>
        <w:gridCol w:w="1638"/>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tblHeader/>
          <w:jc w:val="center"/>
        </w:trPr>
        <w:tc>
          <w:tcPr>
            <w:tcW w:w="15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501"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1.通过实施市区自来水管网维护，供水设备运行电费、职工福利费等内容，保证供水设备的正常运行。</w:t>
            </w:r>
          </w:p>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2.确</w:t>
            </w:r>
            <w:r>
              <w:rPr>
                <w:rFonts w:hint="eastAsia" w:ascii="方正书宋_GBK" w:eastAsia="方正书宋_GBK"/>
                <w:color w:val="auto"/>
                <w:lang w:eastAsia="zh-CN"/>
              </w:rPr>
              <w:t>保市区</w:t>
            </w:r>
            <w:r>
              <w:rPr>
                <w:rFonts w:hint="eastAsia" w:ascii="方正书宋_GBK" w:eastAsia="方正书宋_GBK"/>
                <w:color w:val="auto"/>
                <w:lang w:val="en-US" w:eastAsia="zh-CN"/>
              </w:rPr>
              <w:t>46000户居民基本生产生活用水安全。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0" w:hRule="atLeast"/>
          <w:tblHeader/>
          <w:jc w:val="center"/>
        </w:trPr>
        <w:tc>
          <w:tcPr>
            <w:tcW w:w="15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559"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产出指标</w:t>
            </w:r>
          </w:p>
        </w:tc>
        <w:tc>
          <w:tcPr>
            <w:tcW w:w="2039"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数量指标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市区自来水供水数量</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800万立方米</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jc w:val="center"/>
        </w:trPr>
        <w:tc>
          <w:tcPr>
            <w:tcW w:w="1559"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市区管网维护量</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当年市区基本公共供水管网维护量</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32平方公里</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559"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质量指标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生活饮用水卫生标准</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水质监测报告达到标准的比例</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jc w:val="center"/>
        </w:trPr>
        <w:tc>
          <w:tcPr>
            <w:tcW w:w="1559"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时效指标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供水管网维护及时率</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按照要求和计划完成供水管网维护</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559"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成本指标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成本控制数</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控制补贴资金实际支出额度</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320万元</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8" w:hRule="atLeast"/>
          <w:jc w:val="center"/>
        </w:trPr>
        <w:tc>
          <w:tcPr>
            <w:tcW w:w="1559"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39" w:type="dxa"/>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eastAsia="zh-CN"/>
              </w:rPr>
              <w:t>社会效益指标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保障市区生产生活用水户数</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46000户</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2" w:hRule="atLeast"/>
          <w:jc w:val="center"/>
        </w:trPr>
        <w:tc>
          <w:tcPr>
            <w:tcW w:w="15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3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服务对象满意度指标</w:t>
            </w:r>
          </w:p>
        </w:tc>
        <w:tc>
          <w:tcPr>
            <w:tcW w:w="24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群众满意度</w:t>
            </w:r>
          </w:p>
        </w:tc>
        <w:tc>
          <w:tcPr>
            <w:tcW w:w="31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eastAsia="zh-CN"/>
              </w:rPr>
              <w:t>市区群众对当年供水情况整体满意度</w:t>
            </w:r>
          </w:p>
        </w:tc>
        <w:tc>
          <w:tcPr>
            <w:tcW w:w="163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w:t>
            </w:r>
            <w:r>
              <w:rPr>
                <w:rFonts w:hint="eastAsia" w:ascii="方正书宋_GBK" w:eastAsia="方正书宋_GBK"/>
                <w:color w:val="auto"/>
                <w:lang w:val="en-US" w:eastAsia="zh-CN"/>
              </w:rPr>
              <w:t>85%</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eastAsia="zh-CN"/>
              </w:rPr>
              <w:t>计划标准</w:t>
            </w:r>
          </w:p>
        </w:tc>
      </w:tr>
    </w:tbl>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23、河道管理范围内复核划定资金绩效目标表</w:t>
      </w:r>
    </w:p>
    <w:tbl>
      <w:tblPr>
        <w:tblStyle w:val="4"/>
        <w:tblW w:w="12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7"/>
        <w:gridCol w:w="2051"/>
        <w:gridCol w:w="2453"/>
        <w:gridCol w:w="3165"/>
        <w:gridCol w:w="1605"/>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tblHeader/>
          <w:jc w:val="center"/>
        </w:trPr>
        <w:tc>
          <w:tcPr>
            <w:tcW w:w="1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33"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1.</w:t>
            </w:r>
            <w:r>
              <w:rPr>
                <w:rFonts w:hint="eastAsia" w:ascii="方正书宋_GBK" w:eastAsia="方正书宋_GBK"/>
                <w:color w:val="auto"/>
              </w:rPr>
              <w:t>7月底前完成17条主要河渠的管理范围复核划定和保护范围划定，中亭河、牤牛河、雄固霸新河保护范围划定12座水闸和13座泵站的管理与保护范围划定</w:t>
            </w:r>
          </w:p>
          <w:p>
            <w:p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w:t>
            </w:r>
            <w:r>
              <w:rPr>
                <w:rFonts w:hint="eastAsia" w:ascii="方正书宋_GBK" w:eastAsia="方正书宋_GBK"/>
                <w:color w:val="auto"/>
              </w:rPr>
              <w:t>完成年度财政预算。加强岸线空间管控、保障河势稳定,为防洪安全等提供保障。群众满意率达到90%以上。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tblHeader/>
          <w:jc w:val="center"/>
        </w:trPr>
        <w:tc>
          <w:tcPr>
            <w:tcW w:w="1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5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完成管理范围复核及划定的河渠数量</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完成数量</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17条</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完成保护范围划定的河渠数量</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完成数量</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=0条</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完成管理与保护范围划定的水闸泵站工程数量</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完成数量</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25座</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验收合格率</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通过专家审查、达到国家相关验收标准</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附表内容</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符合方案要求</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是</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附图内容</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符合方案要求</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是</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复核划定合同签订时间</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复核划定合同签订时间</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≤4月</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提交相关测给资料时间</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提交相关测给资料时间</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≤5月</w:t>
            </w:r>
          </w:p>
        </w:tc>
        <w:tc>
          <w:tcPr>
            <w:tcW w:w="2159"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1"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复核划定成果验收时间</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复核划定成果验收时间</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≤7月</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方正书宋_GBK" w:eastAsia="方正书宋_GBK"/>
                <w:color w:val="auto"/>
                <w:szCs w:val="24"/>
              </w:rPr>
            </w:pPr>
          </w:p>
        </w:tc>
        <w:tc>
          <w:tcPr>
            <w:tcW w:w="2051" w:type="dxa"/>
            <w:tcBorders>
              <w:top w:val="single" w:color="000000" w:sz="6" w:space="0"/>
              <w:left w:val="single" w:color="000000" w:sz="6" w:space="0"/>
              <w:bottom w:val="single" w:color="auto" w:sz="4"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预算完成率</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实际支出预算占年度预算的比率</w:t>
            </w:r>
          </w:p>
        </w:tc>
        <w:tc>
          <w:tcPr>
            <w:tcW w:w="1605"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年度预算数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2" w:hRule="atLeast"/>
          <w:jc w:val="center"/>
        </w:trPr>
        <w:tc>
          <w:tcPr>
            <w:tcW w:w="1507" w:type="dxa"/>
            <w:vMerge w:val="restart"/>
            <w:tcBorders>
              <w:top w:val="single" w:color="auto" w:sz="4"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2051"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业务保障能力</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是否能为加强岸线空间管控、推动岸线有效保护和合理利用、保障河势稳定了防洪安全等提供保障。</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有效保障</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07"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可持续影响指标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河道管理机制健全性</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考察河道管理机制制定情况</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健全</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3" w:hRule="atLeast"/>
          <w:jc w:val="center"/>
        </w:trPr>
        <w:tc>
          <w:tcPr>
            <w:tcW w:w="15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4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群众满意度</w:t>
            </w:r>
          </w:p>
        </w:tc>
        <w:tc>
          <w:tcPr>
            <w:tcW w:w="31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受益群体调查中，满意和较满意的人数占全部调查人数的比率</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≥90%</w:t>
            </w:r>
          </w:p>
        </w:tc>
        <w:tc>
          <w:tcPr>
            <w:tcW w:w="215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问卷调查</w:t>
            </w:r>
          </w:p>
        </w:tc>
      </w:tr>
    </w:tbl>
    <w:p>
      <w:pPr>
        <w:rPr>
          <w:color w:val="auto"/>
        </w:rPr>
      </w:pPr>
    </w:p>
    <w:p>
      <w:pPr>
        <w:spacing w:line="300" w:lineRule="exact"/>
        <w:jc w:val="left"/>
        <w:rPr>
          <w:rFonts w:hint="eastAsia" w:ascii="方正书宋_GBK" w:eastAsia="方正书宋_GBK"/>
          <w:b/>
          <w:bCs/>
          <w:color w:val="auto"/>
          <w:sz w:val="28"/>
          <w:szCs w:val="28"/>
          <w:lang w:val="en-US" w:eastAsia="zh-CN"/>
        </w:rPr>
      </w:pPr>
      <w:r>
        <w:rPr>
          <w:rFonts w:hint="eastAsia" w:ascii="方正书宋_GBK" w:eastAsia="方正书宋_GBK"/>
          <w:b/>
          <w:bCs/>
          <w:color w:val="auto"/>
          <w:sz w:val="28"/>
          <w:szCs w:val="28"/>
          <w:lang w:val="en-US" w:eastAsia="zh-CN"/>
        </w:rPr>
        <w:t>24、胜芳镇石沟县办渠桥、石沟河西小桥重建工程资金绩效目标表</w:t>
      </w:r>
    </w:p>
    <w:tbl>
      <w:tblPr>
        <w:tblStyle w:val="4"/>
        <w:tblW w:w="12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2082"/>
        <w:gridCol w:w="2457"/>
        <w:gridCol w:w="3178"/>
        <w:gridCol w:w="1612"/>
        <w:gridCol w:w="2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51"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10"/>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完成胜芳镇石沟县办渠桥、石沟河西小桥重建工程</w:t>
            </w:r>
          </w:p>
          <w:p>
            <w:pPr>
              <w:numPr>
                <w:ilvl w:val="0"/>
                <w:numId w:val="10"/>
              </w:numPr>
              <w:spacing w:line="300" w:lineRule="exact"/>
              <w:jc w:val="left"/>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通过对胜芳镇石沟县办渠桥、石沟河西小桥两座危桥胡重建，保证周边群众胡出行安全。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tblHeader/>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1" w:hRule="atLeast"/>
          <w:jc w:val="center"/>
        </w:trPr>
        <w:tc>
          <w:tcPr>
            <w:tcW w:w="144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重建危桥数量</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重建石沟县办渠桥、石沟河西小桥</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2座</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jc w:val="center"/>
        </w:trPr>
        <w:tc>
          <w:tcPr>
            <w:tcW w:w="144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项目（工程）验收合格率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实际验收合格工程量占已完成工程量的比率</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rPr>
            </w:pPr>
            <w:r>
              <w:rPr>
                <w:rFonts w:hint="eastAsia" w:ascii="方正书宋_GBK" w:eastAsia="方正书宋_GBK"/>
                <w:color w:val="auto"/>
                <w:lang w:val="en-US" w:eastAsia="zh-CN"/>
              </w:rPr>
              <w:t>100%</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jc w:val="center"/>
        </w:trPr>
        <w:tc>
          <w:tcPr>
            <w:tcW w:w="1449"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项目（工程）完成及时率</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工程施工按工作进度执行的工作量占工程完工总量的比率</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100%</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1" w:hRule="atLeast"/>
          <w:jc w:val="center"/>
        </w:trPr>
        <w:tc>
          <w:tcPr>
            <w:tcW w:w="144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项目预算控制数</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项目预算金额280万元。</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≤280万元</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保证群众的出行安全</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通过对胜芳镇石沟县办渠桥、石沟河西小桥两座危桥的重建，保证周边群众的出行安全。</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有效保障</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服务对象满意度指标</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 xml:space="preserve">受益村民满意度（%） </w:t>
            </w:r>
          </w:p>
        </w:tc>
        <w:tc>
          <w:tcPr>
            <w:tcW w:w="317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受益村民满意和较满意数量占受调查总数的比例</w:t>
            </w:r>
          </w:p>
        </w:tc>
        <w:tc>
          <w:tcPr>
            <w:tcW w:w="16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≥95%</w:t>
            </w:r>
          </w:p>
        </w:tc>
        <w:tc>
          <w:tcPr>
            <w:tcW w:w="21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bl>
    <w:p>
      <w:pPr>
        <w:spacing w:line="300" w:lineRule="exact"/>
        <w:jc w:val="left"/>
        <w:rPr>
          <w:rFonts w:hint="eastAsia" w:ascii="方正书宋_GBK" w:eastAsia="方正书宋_GBK"/>
          <w:b/>
          <w:bCs/>
          <w:color w:val="auto"/>
          <w:sz w:val="28"/>
          <w:szCs w:val="28"/>
          <w:lang w:val="en-US" w:eastAsia="zh-CN"/>
        </w:rPr>
      </w:pPr>
    </w:p>
    <w:p>
      <w:pPr>
        <w:jc w:val="left"/>
        <w:outlineLvl w:val="1"/>
        <w:rPr>
          <w:rFonts w:hAnsi="宋体"/>
          <w:b/>
          <w:color w:val="auto"/>
          <w:sz w:val="28"/>
        </w:rPr>
      </w:pPr>
      <w:r>
        <w:rPr>
          <w:rFonts w:hint="eastAsia" w:ascii="方正仿宋_GBK" w:eastAsia="方正仿宋_GBK"/>
          <w:b/>
          <w:color w:val="auto"/>
          <w:sz w:val="28"/>
          <w:lang w:val="en-US" w:eastAsia="zh-CN"/>
        </w:rPr>
        <w:t>25、市管扬水站汛前维修资金</w:t>
      </w:r>
      <w:r>
        <w:rPr>
          <w:rFonts w:ascii="方正仿宋_GBK" w:eastAsia="方正仿宋_GBK"/>
          <w:b/>
          <w:color w:val="auto"/>
          <w:sz w:val="28"/>
        </w:rPr>
        <w:t>（</w:t>
      </w:r>
      <w:r>
        <w:rPr>
          <w:rFonts w:hint="eastAsia" w:ascii="方正仿宋_GBK" w:eastAsia="方正仿宋_GBK"/>
          <w:b/>
          <w:color w:val="auto"/>
          <w:sz w:val="28"/>
        </w:rPr>
        <w:t>项目</w:t>
      </w:r>
      <w:r>
        <w:rPr>
          <w:rFonts w:ascii="方正仿宋_GBK" w:eastAsia="方正仿宋_GBK"/>
          <w:b/>
          <w:color w:val="auto"/>
          <w:sz w:val="28"/>
        </w:rPr>
        <w:t>名称）</w:t>
      </w:r>
      <w:r>
        <w:rPr>
          <w:rFonts w:hint="eastAsia" w:ascii="方正仿宋_GBK" w:eastAsia="方正仿宋_GBK"/>
          <w:b/>
          <w:color w:val="auto"/>
          <w:sz w:val="28"/>
        </w:rPr>
        <w:t>绩效目标表</w:t>
      </w:r>
      <w:r>
        <w:rPr>
          <w:rFonts w:hint="eastAsia" w:ascii="方正仿宋_GBK" w:eastAsia="方正仿宋_GBK"/>
          <w:b/>
          <w:color w:val="auto"/>
          <w:sz w:val="28"/>
        </w:rPr>
        <w:fldChar w:fldCharType="begin"/>
      </w:r>
      <w:r>
        <w:rPr>
          <w:rFonts w:hint="eastAsia" w:ascii="方正仿宋_GBK" w:eastAsia="方正仿宋_GBK"/>
          <w:b/>
          <w:color w:val="auto"/>
          <w:sz w:val="28"/>
        </w:rPr>
        <w:instrText xml:space="preserve"> TC 1、常委会经费绩效目标表 \f C \l 1 </w:instrText>
      </w:r>
      <w:r>
        <w:rPr>
          <w:rFonts w:hint="eastAsia" w:ascii="方正仿宋_GBK" w:eastAsia="方正仿宋_GBK"/>
          <w:b/>
          <w:color w:val="auto"/>
          <w:sz w:val="28"/>
        </w:rPr>
        <w:fldChar w:fldCharType="end"/>
      </w:r>
    </w:p>
    <w:p>
      <w:pPr>
        <w:spacing w:line="14" w:lineRule="exact"/>
        <w:ind w:firstLine="420" w:firstLineChars="200"/>
        <w:jc w:val="center"/>
        <w:rPr>
          <w:rFonts w:ascii="Times New Roman" w:hAnsi="宋体" w:eastAsia="宋体" w:cs="Times New Roman"/>
          <w:color w:val="auto"/>
        </w:rPr>
      </w:pPr>
      <w:r>
        <w:rPr>
          <w:rFonts w:hint="eastAsia" w:ascii="方正书宋_GBK" w:eastAsia="方正书宋_GBK"/>
          <w:color w:val="auto"/>
        </w:rPr>
        <w:t xml:space="preserve"> </w:t>
      </w:r>
    </w:p>
    <w:tbl>
      <w:tblPr>
        <w:tblStyle w:val="4"/>
        <w:tblW w:w="12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2085"/>
        <w:gridCol w:w="2447"/>
        <w:gridCol w:w="3169"/>
        <w:gridCol w:w="1631"/>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0" w:hRule="atLeast"/>
          <w:tblHeader/>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485"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1.保证汛期正常开车排水，平安度汛。</w:t>
            </w:r>
          </w:p>
          <w:p>
            <w:pPr>
              <w:numPr>
                <w:ilvl w:val="0"/>
                <w:numId w:val="0"/>
              </w:numPr>
              <w:spacing w:line="300" w:lineRule="exact"/>
              <w:jc w:val="left"/>
              <w:rPr>
                <w:rFonts w:hint="eastAsia" w:ascii="方正书宋_GBK" w:eastAsia="方正书宋_GBK"/>
                <w:b/>
                <w:color w:val="auto"/>
              </w:rPr>
            </w:pPr>
            <w:r>
              <w:rPr>
                <w:rFonts w:hint="eastAsia" w:ascii="方正书宋_GBK" w:eastAsia="方正书宋_GBK"/>
                <w:color w:val="auto"/>
                <w:lang w:val="en-US" w:eastAsia="zh-CN"/>
              </w:rPr>
              <w:t>2.通过对扬水站的维修保证了机械设备正常运转。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4" w:hRule="atLeast"/>
          <w:tblHeader/>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7" w:hRule="atLeast"/>
          <w:jc w:val="center"/>
        </w:trPr>
        <w:tc>
          <w:tcPr>
            <w:tcW w:w="149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维修数量</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维修扬水站5座</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≥5座</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0" w:hRule="atLeast"/>
          <w:jc w:val="center"/>
        </w:trPr>
        <w:tc>
          <w:tcPr>
            <w:tcW w:w="1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工程验收合格率</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用过验收的工程量占修缮总量的比率</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7" w:hRule="atLeast"/>
          <w:jc w:val="center"/>
        </w:trPr>
        <w:tc>
          <w:tcPr>
            <w:tcW w:w="1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成本控制标准</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成本控制标准</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0" w:hRule="atLeast"/>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社会效益指标</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发生重大安全事故起数</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因设备故障，而发生重大安全事故的起数</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0次</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6" w:hRule="atLeast"/>
          <w:jc w:val="center"/>
        </w:trPr>
        <w:tc>
          <w:tcPr>
            <w:tcW w:w="14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服务对象满意度</w:t>
            </w:r>
          </w:p>
        </w:tc>
        <w:tc>
          <w:tcPr>
            <w:tcW w:w="244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群众满意度</w:t>
            </w:r>
          </w:p>
        </w:tc>
        <w:tc>
          <w:tcPr>
            <w:tcW w:w="316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val="en-US" w:eastAsia="zh-CN"/>
              </w:rPr>
              <w:t>群众满意度</w:t>
            </w:r>
          </w:p>
        </w:tc>
        <w:tc>
          <w:tcPr>
            <w:tcW w:w="16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5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计划指标</w:t>
            </w:r>
          </w:p>
        </w:tc>
      </w:tr>
    </w:tbl>
    <w:p>
      <w:pPr>
        <w:spacing w:line="300" w:lineRule="exact"/>
        <w:jc w:val="left"/>
        <w:rPr>
          <w:rFonts w:hint="eastAsia" w:ascii="方正仿宋_GBK" w:eastAsia="方正仿宋_GBK"/>
          <w:b/>
          <w:color w:val="auto"/>
          <w:sz w:val="28"/>
          <w:lang w:val="en-US" w:eastAsia="zh-CN"/>
        </w:rPr>
      </w:pPr>
    </w:p>
    <w:p>
      <w:pPr>
        <w:spacing w:line="300" w:lineRule="exact"/>
        <w:jc w:val="left"/>
        <w:rPr>
          <w:rFonts w:hint="eastAsia" w:ascii="方正仿宋_GBK" w:eastAsia="方正仿宋_GBK"/>
          <w:b/>
          <w:color w:val="auto"/>
          <w:sz w:val="28"/>
          <w:lang w:val="en-US" w:eastAsia="zh-CN"/>
        </w:rPr>
      </w:pPr>
    </w:p>
    <w:p>
      <w:pPr>
        <w:spacing w:line="300" w:lineRule="exact"/>
        <w:jc w:val="left"/>
        <w:rPr>
          <w:rFonts w:hint="eastAsia" w:ascii="方正书宋_GBK" w:eastAsia="方正书宋_GBK"/>
          <w:b/>
          <w:bCs/>
          <w:color w:val="auto"/>
          <w:sz w:val="28"/>
          <w:szCs w:val="28"/>
          <w:lang w:val="en-US" w:eastAsia="zh-CN"/>
        </w:rPr>
      </w:pPr>
      <w:r>
        <w:rPr>
          <w:rFonts w:hint="eastAsia" w:ascii="方正仿宋_GBK" w:eastAsia="方正仿宋_GBK"/>
          <w:b/>
          <w:color w:val="auto"/>
          <w:sz w:val="28"/>
          <w:lang w:val="en-US" w:eastAsia="zh-CN"/>
        </w:rPr>
        <w:t>26、霸州农村用水水资源论证项目资金</w:t>
      </w:r>
      <w:r>
        <w:rPr>
          <w:rFonts w:hint="eastAsia" w:ascii="方正仿宋_GBK" w:eastAsia="方正仿宋_GBK"/>
          <w:b/>
          <w:color w:val="auto"/>
          <w:sz w:val="28"/>
        </w:rPr>
        <w:t>绩效目标表</w:t>
      </w:r>
    </w:p>
    <w:tbl>
      <w:tblPr>
        <w:tblStyle w:val="4"/>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8"/>
        <w:gridCol w:w="2064"/>
        <w:gridCol w:w="2437"/>
        <w:gridCol w:w="3150"/>
        <w:gridCol w:w="1568"/>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6" w:hRule="atLeast"/>
          <w:tblHeader/>
          <w:jc w:val="center"/>
        </w:trPr>
        <w:tc>
          <w:tcPr>
            <w:tcW w:w="14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352" w:type="dxa"/>
            <w:gridSpan w:val="5"/>
            <w:tcBorders>
              <w:top w:val="single" w:color="000000" w:sz="6" w:space="0"/>
              <w:left w:val="single" w:color="000000" w:sz="6" w:space="0"/>
              <w:bottom w:val="single" w:color="000000" w:sz="6" w:space="0"/>
              <w:right w:val="single" w:color="000000" w:sz="6" w:space="0"/>
            </w:tcBorders>
            <w:vAlign w:val="center"/>
          </w:tcPr>
          <w:p>
            <w:pPr>
              <w:numPr>
                <w:ilvl w:val="0"/>
                <w:numId w:val="11"/>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加强机井管理工作，对取用水在水量、水质进行合理性和可行性分析。</w:t>
            </w:r>
          </w:p>
          <w:p>
            <w:pPr>
              <w:numPr>
                <w:ilvl w:val="0"/>
                <w:numId w:val="11"/>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提出水资源保护措施，得出切实可行的结论和建议。</w:t>
            </w:r>
          </w:p>
          <w:p>
            <w:pPr>
              <w:numPr>
                <w:ilvl w:val="0"/>
                <w:numId w:val="11"/>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为农村向水行政主管部门申请办理取水许可提出技术依据。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 w:hRule="atLeast"/>
          <w:tblHeader/>
          <w:jc w:val="center"/>
        </w:trPr>
        <w:tc>
          <w:tcPr>
            <w:tcW w:w="14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restart"/>
            <w:tcBorders>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数量指标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1项</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数量指标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质量指标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水资源论证书验收合格率</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水资源论证书验收合格率</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100%</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成本指标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项目资金</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预算目标完成</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29万元</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6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时效指标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完成时限</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2021年度内完成</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12月份</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通过专家验收时间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9" w:hRule="atLeast"/>
          <w:jc w:val="center"/>
        </w:trPr>
        <w:tc>
          <w:tcPr>
            <w:tcW w:w="146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生态效益指标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霸州市地下水开采量</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霸州市地下水开采量</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2700万m³/a</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《廊坊市水务局关于下达廊坊市实行最严格水资源管理制度红线控制目标的通知》（廊水资【2016】115号）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6" w:hRule="atLeast"/>
          <w:jc w:val="center"/>
        </w:trPr>
        <w:tc>
          <w:tcPr>
            <w:tcW w:w="146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社会效益指标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为取水许可证办理提供技术支持</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取水许可证办理</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办理取水许可证</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《取水许可管理办法》（河北省人民政府令【2018】第3号）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 w:hRule="atLeast"/>
          <w:jc w:val="center"/>
        </w:trPr>
        <w:tc>
          <w:tcPr>
            <w:tcW w:w="1468" w:type="dxa"/>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满意度指标</w:t>
            </w:r>
          </w:p>
        </w:tc>
        <w:tc>
          <w:tcPr>
            <w:tcW w:w="20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服务对象满意度指标</w:t>
            </w:r>
          </w:p>
        </w:tc>
        <w:tc>
          <w:tcPr>
            <w:tcW w:w="24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收益群众满意度</w:t>
            </w:r>
          </w:p>
        </w:tc>
        <w:tc>
          <w:tcPr>
            <w:tcW w:w="31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收益群体调查中，满意和较满意的人数占全部调查人数的比率</w:t>
            </w:r>
          </w:p>
        </w:tc>
        <w:tc>
          <w:tcPr>
            <w:tcW w:w="156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eastAsia="zh-CN"/>
              </w:rPr>
              <w:t>≥</w:t>
            </w:r>
            <w:r>
              <w:rPr>
                <w:rFonts w:hint="eastAsia" w:ascii="方正书宋_GBK" w:eastAsia="方正书宋_GBK"/>
                <w:color w:val="auto"/>
                <w:lang w:val="en-US" w:eastAsia="zh-CN"/>
              </w:rPr>
              <w:t>100%</w:t>
            </w:r>
          </w:p>
        </w:tc>
        <w:tc>
          <w:tcPr>
            <w:tcW w:w="2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问卷调查</w:t>
            </w:r>
          </w:p>
        </w:tc>
      </w:tr>
    </w:tbl>
    <w:p>
      <w:pPr>
        <w:numPr>
          <w:ilvl w:val="0"/>
          <w:numId w:val="0"/>
        </w:numPr>
        <w:spacing w:line="300" w:lineRule="exact"/>
        <w:jc w:val="left"/>
        <w:rPr>
          <w:rFonts w:hint="eastAsia" w:ascii="方正仿宋_GBK" w:eastAsia="方正仿宋_GBK"/>
          <w:b/>
          <w:color w:val="auto"/>
          <w:sz w:val="28"/>
        </w:rPr>
      </w:pPr>
    </w:p>
    <w:p>
      <w:pPr>
        <w:numPr>
          <w:ilvl w:val="0"/>
          <w:numId w:val="0"/>
        </w:numPr>
        <w:spacing w:line="300" w:lineRule="exact"/>
        <w:jc w:val="left"/>
        <w:rPr>
          <w:rFonts w:hint="eastAsia" w:ascii="方正仿宋_GBK" w:eastAsia="方正仿宋_GBK"/>
          <w:b/>
          <w:color w:val="auto"/>
          <w:sz w:val="28"/>
        </w:rPr>
      </w:pPr>
      <w:r>
        <w:rPr>
          <w:rFonts w:hint="eastAsia" w:ascii="方正仿宋_GBK" w:eastAsia="方正仿宋_GBK"/>
          <w:b/>
          <w:color w:val="auto"/>
          <w:sz w:val="28"/>
          <w:lang w:val="en-US" w:eastAsia="zh-CN"/>
        </w:rPr>
        <w:t>27、关于提前下达 2021年中央水利发展资金预算的通知（冀财农[2020]135号）</w:t>
      </w:r>
      <w:r>
        <w:rPr>
          <w:rFonts w:hint="eastAsia" w:ascii="方正仿宋_GBK" w:eastAsia="方正仿宋_GBK"/>
          <w:b/>
          <w:color w:val="auto"/>
          <w:sz w:val="28"/>
        </w:rPr>
        <w:t>绩效目标表</w:t>
      </w:r>
    </w:p>
    <w:tbl>
      <w:tblPr>
        <w:tblStyle w:val="4"/>
        <w:tblW w:w="12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1"/>
        <w:gridCol w:w="2054"/>
        <w:gridCol w:w="2425"/>
        <w:gridCol w:w="3136"/>
        <w:gridCol w:w="1561"/>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0" w:hRule="atLeast"/>
          <w:tblHeader/>
          <w:jc w:val="center"/>
        </w:trPr>
        <w:tc>
          <w:tcPr>
            <w:tcW w:w="1461" w:type="dxa"/>
            <w:tcBorders>
              <w:top w:val="single" w:color="000000" w:sz="6" w:space="0"/>
              <w:left w:val="single" w:color="000000" w:sz="6" w:space="0"/>
              <w:bottom w:val="single" w:color="auto" w:sz="4"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绩效目标</w:t>
            </w:r>
          </w:p>
        </w:tc>
        <w:tc>
          <w:tcPr>
            <w:tcW w:w="11299" w:type="dxa"/>
            <w:gridSpan w:val="5"/>
            <w:tcBorders>
              <w:top w:val="single" w:color="000000" w:sz="6" w:space="0"/>
              <w:left w:val="single" w:color="000000" w:sz="6" w:space="0"/>
              <w:bottom w:val="single" w:color="auto" w:sz="4" w:space="0"/>
              <w:right w:val="single" w:color="000000" w:sz="6" w:space="0"/>
            </w:tcBorders>
            <w:vAlign w:val="center"/>
          </w:tcPr>
          <w:p>
            <w:pPr>
              <w:numPr>
                <w:ilvl w:val="0"/>
                <w:numId w:val="12"/>
              </w:num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霸州市农村生活水源江水置换项目通过霸州和胜芳水厂对南水北调外调水处理后置换霸州市各乡镇的地下水，为农村居民提供生活用水，从而达到水源置换和含蓄地下水资源的目标。</w:t>
            </w:r>
          </w:p>
          <w:p>
            <w:pPr>
              <w:numPr>
                <w:ilvl w:val="0"/>
                <w:numId w:val="12"/>
              </w:numPr>
              <w:spacing w:line="300" w:lineRule="exact"/>
              <w:jc w:val="left"/>
              <w:rPr>
                <w:rFonts w:hint="eastAsia" w:ascii="方正书宋_GBK" w:eastAsia="方正书宋_GBK"/>
                <w:b/>
                <w:color w:val="auto"/>
                <w:lang w:val="en-US" w:eastAsia="zh-CN"/>
              </w:rPr>
            </w:pPr>
            <w:r>
              <w:rPr>
                <w:rFonts w:hint="eastAsia" w:ascii="方正书宋_GBK" w:eastAsia="方正书宋_GBK"/>
                <w:b w:val="0"/>
                <w:bCs/>
                <w:color w:val="auto"/>
                <w:lang w:val="en-US" w:eastAsia="zh-CN"/>
              </w:rPr>
              <w:t>霸州市2021年农村饮水工程维修养护项目对21处农村饮水工程进行维修养护，确保农村饮水工程良性运行,控制项目成本，保证维修合格率，8月底前完成项目验收，项目区受益人口达到10.03万人。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blHeader/>
          <w:jc w:val="center"/>
        </w:trPr>
        <w:tc>
          <w:tcPr>
            <w:tcW w:w="1461" w:type="dxa"/>
            <w:tcBorders>
              <w:top w:val="single" w:color="auto" w:sz="4" w:space="0"/>
              <w:left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2054"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25"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36"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61"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23" w:type="dxa"/>
            <w:tcBorders>
              <w:top w:val="single" w:color="auto" w:sz="4"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restart"/>
            <w:tcBorders>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数量指标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水源置换工程完成率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实际完成的工程量占计划完成工程量的比例（百分比）</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农村饮水工程维修完成率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维修农村饮水工程处数</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2</w:t>
            </w:r>
            <w:r>
              <w:rPr>
                <w:rStyle w:val="8"/>
                <w:rFonts w:hint="eastAsia" w:eastAsia="宋体"/>
                <w:color w:val="auto"/>
                <w:lang w:val="en-US" w:eastAsia="zh-CN" w:bidi="ar"/>
              </w:rPr>
              <w:t>1</w:t>
            </w:r>
            <w:r>
              <w:rPr>
                <w:rStyle w:val="7"/>
                <w:color w:val="auto"/>
                <w:lang w:val="en-US" w:eastAsia="zh-CN" w:bidi="ar"/>
              </w:rPr>
              <w:t>处</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质量指标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水源置换工程验收合格率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工程验收合格工程量占全部验收工程量的比率。</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default"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农村饮水工程维修合格率</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农村供水工程维修验收合格数/工程总个数</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100%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成本指标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水源置换工程完成时间</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工程完成竣工验收交付使用时间</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12</w:t>
            </w:r>
            <w:r>
              <w:rPr>
                <w:rStyle w:val="7"/>
                <w:color w:val="auto"/>
                <w:lang w:val="en-US" w:eastAsia="zh-CN" w:bidi="ar"/>
              </w:rPr>
              <w:t>月</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农村饮水工程维修完成时间</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农村供水工程维修项目完成时限</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7"/>
                <w:color w:val="auto"/>
                <w:lang w:val="en-US" w:eastAsia="zh-CN" w:bidi="ar"/>
              </w:rPr>
              <w:t>＜</w:t>
            </w:r>
            <w:r>
              <w:rPr>
                <w:rStyle w:val="8"/>
                <w:rFonts w:eastAsia="宋体"/>
                <w:color w:val="auto"/>
                <w:lang w:val="en-US" w:eastAsia="zh-CN" w:bidi="ar"/>
              </w:rPr>
              <w:t>8.00</w:t>
            </w:r>
            <w:r>
              <w:rPr>
                <w:rStyle w:val="7"/>
                <w:color w:val="auto"/>
                <w:lang w:val="en-US" w:eastAsia="zh-CN" w:bidi="ar"/>
              </w:rPr>
              <w:t>月</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时效指标</w:t>
            </w: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水源置换工程成本控制数额</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default"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工程前期及建设资金实际支出额</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6229.00</w:t>
            </w:r>
            <w:r>
              <w:rPr>
                <w:rStyle w:val="7"/>
                <w:color w:val="auto"/>
                <w:lang w:val="en-US" w:eastAsia="zh-CN" w:bidi="ar"/>
              </w:rPr>
              <w:t>万元</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bottom w:val="single" w:color="auto" w:sz="4"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auto" w:sz="4"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农村饮水工程维修成本控制数额</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val="en-US" w:eastAsia="zh-CN"/>
              </w:rPr>
            </w:pPr>
            <w:r>
              <w:rPr>
                <w:rFonts w:hint="eastAsia" w:ascii="宋体" w:hAnsi="宋体" w:eastAsia="宋体" w:cs="宋体"/>
                <w:i w:val="0"/>
                <w:color w:val="auto"/>
                <w:kern w:val="0"/>
                <w:sz w:val="18"/>
                <w:szCs w:val="18"/>
                <w:u w:val="none"/>
                <w:lang w:val="en-US" w:eastAsia="zh-CN" w:bidi="ar"/>
              </w:rPr>
              <w:t>维修资金总投资</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7"/>
                <w:color w:val="auto"/>
                <w:lang w:val="en-US" w:eastAsia="zh-CN" w:bidi="ar"/>
              </w:rPr>
              <w:t>≤</w:t>
            </w:r>
            <w:r>
              <w:rPr>
                <w:rStyle w:val="8"/>
                <w:rFonts w:eastAsia="宋体"/>
                <w:color w:val="auto"/>
                <w:lang w:val="en-US" w:eastAsia="zh-CN" w:bidi="ar"/>
              </w:rPr>
              <w:t>83.90</w:t>
            </w:r>
            <w:r>
              <w:rPr>
                <w:rStyle w:val="7"/>
                <w:color w:val="auto"/>
                <w:lang w:val="en-US" w:eastAsia="zh-CN" w:bidi="ar"/>
              </w:rPr>
              <w:t>万元</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restart"/>
            <w:tcBorders>
              <w:top w:val="single" w:color="auto" w:sz="4"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2054" w:type="dxa"/>
            <w:vMerge w:val="restart"/>
            <w:tcBorders>
              <w:top w:val="single" w:color="auto" w:sz="4"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生态效益指标</w:t>
            </w: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水源置换工程供水合格率</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合格供水量占总供水量的比例</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7"/>
                <w:color w:val="auto"/>
                <w:lang w:val="en-US" w:eastAsia="zh-CN" w:bidi="ar"/>
              </w:rPr>
              <w:t>≥</w:t>
            </w:r>
            <w:r>
              <w:rPr>
                <w:rStyle w:val="8"/>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农村饮水工程维修受益人口</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项目区受益人口</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eastAsia" w:ascii="方正书宋_GBK" w:eastAsia="方正书宋_GBK"/>
                <w:color w:val="auto"/>
                <w:lang w:eastAsia="zh-CN"/>
              </w:rPr>
            </w:pPr>
            <w:r>
              <w:rPr>
                <w:rStyle w:val="7"/>
                <w:color w:val="auto"/>
                <w:lang w:val="en-US" w:eastAsia="zh-CN" w:bidi="ar"/>
              </w:rPr>
              <w:t>≥</w:t>
            </w:r>
            <w:r>
              <w:rPr>
                <w:rStyle w:val="8"/>
                <w:rFonts w:eastAsia="宋体"/>
                <w:color w:val="auto"/>
                <w:lang w:val="en-US" w:eastAsia="zh-CN" w:bidi="ar"/>
              </w:rPr>
              <w:t>10.03</w:t>
            </w:r>
            <w:r>
              <w:rPr>
                <w:rStyle w:val="7"/>
                <w:color w:val="auto"/>
                <w:lang w:val="en-US" w:eastAsia="zh-CN" w:bidi="ar"/>
              </w:rPr>
              <w:t>万人</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rPr>
              <w:t>可持续影响指标</w:t>
            </w:r>
          </w:p>
        </w:tc>
        <w:tc>
          <w:tcPr>
            <w:tcW w:w="2425"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水源置换工程设施持续发挥效益时</w:t>
            </w:r>
          </w:p>
        </w:tc>
        <w:tc>
          <w:tcPr>
            <w:tcW w:w="3136"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供水管网使用年限</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Style w:val="7"/>
                <w:color w:val="auto"/>
                <w:lang w:val="en-US" w:eastAsia="zh-CN" w:bidi="ar"/>
              </w:rPr>
            </w:pPr>
            <w:r>
              <w:rPr>
                <w:rStyle w:val="7"/>
                <w:color w:val="auto"/>
                <w:lang w:val="en-US" w:eastAsia="zh-CN" w:bidi="ar"/>
              </w:rPr>
              <w:t>≥</w:t>
            </w:r>
            <w:r>
              <w:rPr>
                <w:rStyle w:val="8"/>
                <w:rFonts w:eastAsia="宋体"/>
                <w:color w:val="auto"/>
                <w:lang w:val="en-US" w:eastAsia="zh-CN" w:bidi="ar"/>
              </w:rPr>
              <w:t>50</w:t>
            </w:r>
            <w:r>
              <w:rPr>
                <w:rStyle w:val="7"/>
                <w:color w:val="auto"/>
                <w:lang w:val="en-US" w:eastAsia="zh-CN" w:bidi="ar"/>
              </w:rPr>
              <w:t>年</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农村饮水工程维修设施持续发挥效</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农村供水工程维修后可使用年限</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Style w:val="7"/>
                <w:color w:val="auto"/>
                <w:lang w:val="en-US" w:eastAsia="zh-CN" w:bidi="ar"/>
              </w:rPr>
            </w:pPr>
            <w:r>
              <w:rPr>
                <w:rStyle w:val="7"/>
                <w:color w:val="auto"/>
                <w:lang w:val="en-US" w:eastAsia="zh-CN" w:bidi="ar"/>
              </w:rPr>
              <w:t>≥</w:t>
            </w:r>
            <w:r>
              <w:rPr>
                <w:rStyle w:val="8"/>
                <w:rFonts w:eastAsia="宋体"/>
                <w:color w:val="auto"/>
                <w:lang w:val="en-US" w:eastAsia="zh-CN" w:bidi="ar"/>
              </w:rPr>
              <w:t>5</w:t>
            </w:r>
            <w:r>
              <w:rPr>
                <w:rStyle w:val="7"/>
                <w:color w:val="auto"/>
                <w:lang w:val="en-US" w:eastAsia="zh-CN" w:bidi="ar"/>
              </w:rPr>
              <w:t>年</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61" w:type="dxa"/>
            <w:vMerge w:val="restart"/>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满意度指标</w:t>
            </w:r>
          </w:p>
        </w:tc>
        <w:tc>
          <w:tcPr>
            <w:tcW w:w="2054"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服务对象满意度指标</w:t>
            </w: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水源置换工程受益群众满意度</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受益群体调查中，满意和较满意的人数占全部调查人数的比例</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90%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1" w:hRule="atLeast"/>
          <w:jc w:val="center"/>
        </w:trPr>
        <w:tc>
          <w:tcPr>
            <w:tcW w:w="1461"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054"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p>
        </w:tc>
        <w:tc>
          <w:tcPr>
            <w:tcW w:w="242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农村饮水工程维修受益群众满意度</w:t>
            </w:r>
          </w:p>
        </w:tc>
        <w:tc>
          <w:tcPr>
            <w:tcW w:w="313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textAlignment w:val="center"/>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受益群体调查中，满意和较满意的人数占全部调查人数的比例</w:t>
            </w:r>
          </w:p>
        </w:tc>
        <w:tc>
          <w:tcPr>
            <w:tcW w:w="1561"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both"/>
              <w:textAlignment w:val="center"/>
              <w:rPr>
                <w:rFonts w:hint="default" w:ascii="方正书宋_GBK" w:eastAsia="方正书宋_GBK"/>
                <w:color w:val="auto"/>
                <w:lang w:val="en-US" w:eastAsia="zh-CN"/>
              </w:rPr>
            </w:pPr>
            <w:r>
              <w:rPr>
                <w:rStyle w:val="7"/>
                <w:color w:val="auto"/>
                <w:lang w:val="en-US" w:eastAsia="zh-CN" w:bidi="ar"/>
              </w:rPr>
              <w:t>≥</w:t>
            </w:r>
            <w:r>
              <w:rPr>
                <w:rStyle w:val="8"/>
                <w:rFonts w:eastAsia="宋体"/>
                <w:color w:val="auto"/>
                <w:lang w:val="en-US" w:eastAsia="zh-CN" w:bidi="ar"/>
              </w:rPr>
              <w:t>100%</w:t>
            </w:r>
          </w:p>
        </w:tc>
        <w:tc>
          <w:tcPr>
            <w:tcW w:w="2123" w:type="dxa"/>
            <w:tcBorders>
              <w:top w:val="single" w:color="000000" w:sz="6" w:space="0"/>
              <w:left w:val="single" w:color="000000" w:sz="6" w:space="0"/>
              <w:bottom w:val="single" w:color="000000" w:sz="6" w:space="0"/>
              <w:right w:val="single" w:color="000000" w:sz="6" w:space="0"/>
            </w:tcBorders>
            <w:vAlign w:val="top"/>
          </w:tcPr>
          <w:p>
            <w:pPr>
              <w:keepNext w:val="0"/>
              <w:keepLines w:val="0"/>
              <w:widowControl/>
              <w:suppressLineNumbers w:val="0"/>
              <w:jc w:val="left"/>
              <w:textAlignment w:val="top"/>
              <w:rPr>
                <w:rFonts w:hint="eastAsia" w:ascii="方正书宋_GBK" w:eastAsia="方正书宋_GBK"/>
                <w:color w:val="auto"/>
                <w:lang w:eastAsia="zh-CN"/>
              </w:rPr>
            </w:pPr>
            <w:r>
              <w:rPr>
                <w:rFonts w:hint="eastAsia" w:ascii="宋体" w:hAnsi="宋体" w:eastAsia="宋体" w:cs="宋体"/>
                <w:i w:val="0"/>
                <w:color w:val="auto"/>
                <w:kern w:val="0"/>
                <w:sz w:val="18"/>
                <w:szCs w:val="18"/>
                <w:u w:val="none"/>
                <w:lang w:val="en-US" w:eastAsia="zh-CN" w:bidi="ar"/>
              </w:rPr>
              <w:t>计划标准</w:t>
            </w:r>
          </w:p>
        </w:tc>
      </w:tr>
    </w:tbl>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28、（工程旧欠）霸州市中亭河扬芬港桥、闸重建工程项目资金</w:t>
      </w:r>
      <w:r>
        <w:rPr>
          <w:rFonts w:hint="eastAsia" w:ascii="方正仿宋_GBK" w:eastAsia="方正仿宋_GBK"/>
          <w:b/>
          <w:color w:val="auto"/>
          <w:sz w:val="28"/>
        </w:rPr>
        <w:t>绩效目标表</w:t>
      </w:r>
    </w:p>
    <w:tbl>
      <w:tblPr>
        <w:tblStyle w:val="4"/>
        <w:tblW w:w="12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1948"/>
        <w:gridCol w:w="2430"/>
        <w:gridCol w:w="3094"/>
        <w:gridCol w:w="1598"/>
        <w:gridCol w:w="2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atLeast"/>
          <w:tblHeader/>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06"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val="0"/>
                <w:bCs/>
                <w:color w:val="auto"/>
                <w:lang w:val="en-US" w:eastAsia="zh-CN"/>
              </w:rPr>
            </w:pPr>
            <w:r>
              <w:rPr>
                <w:rFonts w:hint="eastAsia" w:ascii="方正书宋_GBK" w:eastAsia="方正书宋_GBK"/>
                <w:b w:val="0"/>
                <w:bCs/>
                <w:color w:val="auto"/>
                <w:lang w:val="en-US" w:eastAsia="zh-CN"/>
              </w:rPr>
              <w:t>1.按照计划偿还工程旧欠资金</w:t>
            </w:r>
          </w:p>
          <w:p>
            <w:pPr>
              <w:spacing w:line="300" w:lineRule="exact"/>
              <w:jc w:val="left"/>
              <w:rPr>
                <w:rFonts w:hint="default" w:ascii="方正书宋_GBK" w:eastAsia="方正书宋_GBK"/>
                <w:b w:val="0"/>
                <w:bCs/>
                <w:color w:val="auto"/>
                <w:lang w:val="en-US" w:eastAsia="zh-CN"/>
              </w:rPr>
            </w:pPr>
            <w:r>
              <w:rPr>
                <w:rFonts w:hint="eastAsia" w:ascii="方正书宋_GBK" w:eastAsia="方正书宋_GBK"/>
                <w:b w:val="0"/>
                <w:bCs/>
                <w:color w:val="auto"/>
                <w:lang w:val="en-US" w:eastAsia="zh-CN"/>
              </w:rPr>
              <w:t>2.收到资金后15工作日内拨付的债权单位</w:t>
            </w:r>
          </w:p>
          <w:p>
            <w:pPr>
              <w:spacing w:line="300" w:lineRule="exact"/>
              <w:jc w:val="left"/>
              <w:rPr>
                <w:rFonts w:hint="eastAsia" w:ascii="方正书宋_GBK" w:eastAsia="方正书宋_GBK"/>
                <w:b/>
                <w:color w:val="auto"/>
              </w:rPr>
            </w:pPr>
            <w:r>
              <w:rPr>
                <w:rFonts w:hint="eastAsia" w:ascii="方正书宋_GBK" w:eastAsia="方正书宋_GBK"/>
                <w:b w:val="0"/>
                <w:bCs/>
                <w:color w:val="auto"/>
                <w:lang w:val="en-US" w:eastAsia="zh-CN"/>
              </w:rPr>
              <w:t>3.优化营商环境，提高企业满意度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blHeader/>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jc w:val="center"/>
        </w:trPr>
        <w:tc>
          <w:tcPr>
            <w:tcW w:w="1534"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数量指标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偿还旧欠工程数量</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偿还旧欠工程数量</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1个</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jc w:val="center"/>
        </w:trPr>
        <w:tc>
          <w:tcPr>
            <w:tcW w:w="1534"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质量指标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是否按照计划偿还欠款</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是否按照计划偿还欠款</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是</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jc w:val="center"/>
        </w:trPr>
        <w:tc>
          <w:tcPr>
            <w:tcW w:w="1534"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时效指标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工程欠款拨付及时情况</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工程欠款拨付及时情况</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≤15日</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534"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成本指标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项目预算控制数</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项目支出金额小于等于项目预算金额</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≤448.53万元</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效果指标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经济效益指标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优化营商环境情况</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按时偿还欠款，霸州市营商环境提升情况</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lang w:eastAsia="zh-CN"/>
              </w:rPr>
              <w:t>提升</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6" w:hRule="atLeast"/>
          <w:jc w:val="center"/>
        </w:trPr>
        <w:tc>
          <w:tcPr>
            <w:tcW w:w="15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服务对象满意度指标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受益群体满意率</w:t>
            </w:r>
          </w:p>
        </w:tc>
        <w:tc>
          <w:tcPr>
            <w:tcW w:w="30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经调查被拖欠企业满意个数占调查总企业个数的比率</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≥95%</w:t>
            </w:r>
          </w:p>
        </w:tc>
        <w:tc>
          <w:tcPr>
            <w:tcW w:w="213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lang w:val="en-US" w:eastAsia="zh-CN"/>
              </w:rPr>
              <w:t>计划标准</w:t>
            </w:r>
          </w:p>
        </w:tc>
      </w:tr>
    </w:tbl>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p>
    <w:p>
      <w:pPr>
        <w:numPr>
          <w:ilvl w:val="0"/>
          <w:numId w:val="0"/>
        </w:numPr>
        <w:spacing w:line="300" w:lineRule="exact"/>
        <w:jc w:val="left"/>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29、霸州市中亭堤泵站更新改造工程（高各庄站、小庙站重建）建设资金绩效目标表</w:t>
      </w:r>
    </w:p>
    <w:tbl>
      <w:tblPr>
        <w:tblStyle w:val="4"/>
        <w:tblW w:w="12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1942"/>
        <w:gridCol w:w="2432"/>
        <w:gridCol w:w="3114"/>
        <w:gridCol w:w="1611"/>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 w:hRule="atLeast"/>
          <w:tblHeader/>
          <w:jc w:val="center"/>
        </w:trPr>
        <w:tc>
          <w:tcPr>
            <w:tcW w:w="15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绩效目标</w:t>
            </w:r>
          </w:p>
        </w:tc>
        <w:tc>
          <w:tcPr>
            <w:tcW w:w="11255"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rPr>
            </w:pPr>
            <w:r>
              <w:rPr>
                <w:rFonts w:hint="eastAsia" w:ascii="方正书宋_GBK" w:eastAsia="方正书宋_GBK"/>
                <w:color w:val="auto"/>
              </w:rPr>
              <w:t>通过高各庄站、小庙站采购并安装潜水轴流泵、现场按钮箱、设备水泵电缆接线箱等机电设备，有效推进项目整体进程，为项目尽早发挥效益提供有力支持。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5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rPr>
            </w:pPr>
            <w:r>
              <w:rPr>
                <w:rFonts w:hint="eastAsia" w:ascii="方正书宋_GBK" w:eastAsia="方正书宋_GBK"/>
                <w:b/>
                <w:color w:val="auto"/>
              </w:rPr>
              <w:t>一级指标</w:t>
            </w: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二级指标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三级指标</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绩效指标描述</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产出指标</w:t>
            </w:r>
          </w:p>
        </w:tc>
        <w:tc>
          <w:tcPr>
            <w:tcW w:w="1942"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数量指标</w:t>
            </w:r>
          </w:p>
        </w:tc>
        <w:tc>
          <w:tcPr>
            <w:tcW w:w="2432"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水泵台数</w:t>
            </w:r>
          </w:p>
        </w:tc>
        <w:tc>
          <w:tcPr>
            <w:tcW w:w="3114"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潜水轴流泵</w:t>
            </w:r>
          </w:p>
        </w:tc>
        <w:tc>
          <w:tcPr>
            <w:tcW w:w="161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8套</w:t>
            </w:r>
          </w:p>
        </w:tc>
        <w:tc>
          <w:tcPr>
            <w:tcW w:w="2156"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32"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现场按钮箱</w:t>
            </w:r>
          </w:p>
        </w:tc>
        <w:tc>
          <w:tcPr>
            <w:tcW w:w="3114"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现场按钮箱</w:t>
            </w:r>
          </w:p>
        </w:tc>
        <w:tc>
          <w:tcPr>
            <w:tcW w:w="161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8台</w:t>
            </w:r>
          </w:p>
        </w:tc>
        <w:tc>
          <w:tcPr>
            <w:tcW w:w="2156"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2432"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水泵电缆接线箱</w:t>
            </w:r>
          </w:p>
        </w:tc>
        <w:tc>
          <w:tcPr>
            <w:tcW w:w="3114"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水泵电缆接线箱</w:t>
            </w:r>
          </w:p>
        </w:tc>
        <w:tc>
          <w:tcPr>
            <w:tcW w:w="161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8台</w:t>
            </w:r>
          </w:p>
        </w:tc>
        <w:tc>
          <w:tcPr>
            <w:tcW w:w="2156"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质量指标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设备验收合格率</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通过验收的工程量占总量的比率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时效指标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设备生产完成及时性</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是否按进度计划及时完成</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是</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成本指标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预算完成率</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实际支出预算占年度预算的比率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≤100%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年度预算数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 w:hRule="atLeast"/>
          <w:jc w:val="center"/>
        </w:trPr>
        <w:tc>
          <w:tcPr>
            <w:tcW w:w="1545"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效果指标</w:t>
            </w: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社会效益指标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业务保障能力</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为后续安装工作的顺利开展提供前提保障</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有效保障</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45"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可持续影响指标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维护保养机制健全性</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考察维护保养机制制定情况</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健全</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 w:hRule="atLeast"/>
          <w:jc w:val="center"/>
        </w:trPr>
        <w:tc>
          <w:tcPr>
            <w:tcW w:w="15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满意度指标</w:t>
            </w:r>
          </w:p>
        </w:tc>
        <w:tc>
          <w:tcPr>
            <w:tcW w:w="19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lang w:eastAsia="zh-CN"/>
              </w:rPr>
            </w:pPr>
            <w:r>
              <w:rPr>
                <w:rFonts w:hint="eastAsia" w:ascii="方正书宋_GBK" w:eastAsia="方正书宋_GBK"/>
                <w:color w:val="auto"/>
              </w:rPr>
              <w:t>服务对象</w:t>
            </w:r>
          </w:p>
          <w:p>
            <w:pPr>
              <w:spacing w:line="300" w:lineRule="exact"/>
              <w:jc w:val="center"/>
              <w:rPr>
                <w:rFonts w:hint="eastAsia" w:ascii="方正书宋_GBK" w:eastAsia="方正书宋_GBK"/>
                <w:color w:val="auto"/>
              </w:rPr>
            </w:pPr>
            <w:r>
              <w:rPr>
                <w:rFonts w:hint="eastAsia" w:ascii="方正书宋_GBK" w:eastAsia="方正书宋_GBK"/>
                <w:color w:val="auto"/>
              </w:rPr>
              <w:t>满意度指标</w:t>
            </w:r>
          </w:p>
        </w:tc>
        <w:tc>
          <w:tcPr>
            <w:tcW w:w="24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满意度</w:t>
            </w:r>
          </w:p>
        </w:tc>
        <w:tc>
          <w:tcPr>
            <w:tcW w:w="31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满意和较满意的人数占全部调查人数的比率</w:t>
            </w:r>
          </w:p>
        </w:tc>
        <w:tc>
          <w:tcPr>
            <w:tcW w:w="16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≥90%</w:t>
            </w:r>
          </w:p>
        </w:tc>
        <w:tc>
          <w:tcPr>
            <w:tcW w:w="21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问卷调查</w:t>
            </w:r>
          </w:p>
        </w:tc>
      </w:tr>
    </w:tbl>
    <w:p>
      <w:pPr>
        <w:numPr>
          <w:ilvl w:val="0"/>
          <w:numId w:val="0"/>
        </w:numPr>
        <w:spacing w:line="300" w:lineRule="exact"/>
        <w:jc w:val="left"/>
        <w:rPr>
          <w:rFonts w:hint="eastAsia" w:ascii="方正仿宋_GBK" w:eastAsia="方正仿宋_GBK"/>
          <w:b/>
          <w:color w:val="auto"/>
          <w:sz w:val="28"/>
          <w:lang w:val="en-US" w:eastAsia="zh-CN"/>
        </w:rPr>
      </w:pPr>
    </w:p>
    <w:p>
      <w:pPr>
        <w:rPr>
          <w:rFonts w:ascii="仿宋_GB2312" w:hAnsi="黑体" w:eastAsia="仿宋_GB2312" w:cs="Times New Roman"/>
          <w:color w:val="auto"/>
          <w:sz w:val="32"/>
          <w:szCs w:val="32"/>
        </w:rPr>
      </w:pP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rPr>
          <w:rFonts w:ascii="仿宋_GB2312" w:hAnsi="Times New Roman" w:eastAsia="仿宋_GB2312" w:cs="Times New Roman"/>
          <w:color w:val="auto"/>
          <w:sz w:val="32"/>
          <w:szCs w:val="32"/>
        </w:rPr>
      </w:pPr>
      <w:bookmarkStart w:id="4"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安排政府采购预算</w:t>
      </w:r>
      <w:r>
        <w:rPr>
          <w:rFonts w:hint="eastAsia" w:ascii="仿宋_GB2312" w:hAnsi="Times New Roman" w:eastAsia="仿宋_GB2312" w:cs="Times New Roman"/>
          <w:color w:val="auto"/>
          <w:sz w:val="32"/>
          <w:szCs w:val="32"/>
          <w:lang w:val="en-US" w:eastAsia="zh-CN"/>
        </w:rPr>
        <w:t>7023.58</w:t>
      </w:r>
      <w:r>
        <w:rPr>
          <w:rFonts w:hint="eastAsia" w:ascii="仿宋_GB2312" w:hAnsi="Times New Roman" w:eastAsia="仿宋_GB2312" w:cs="Times New Roman"/>
          <w:color w:val="auto"/>
          <w:sz w:val="32"/>
          <w:szCs w:val="32"/>
        </w:rPr>
        <w:t>万元。具体内容见下表。</w:t>
      </w:r>
    </w:p>
    <w:p>
      <w:pPr>
        <w:jc w:val="center"/>
        <w:outlineLvl w:val="0"/>
        <w:rPr>
          <w:rFonts w:hint="eastAsia" w:ascii="方正小标宋_GBK" w:hAnsi="Times New Roman" w:eastAsia="方正小标宋_GBK" w:cs="Times New Roman"/>
          <w:color w:val="auto"/>
          <w:sz w:val="32"/>
          <w:szCs w:val="24"/>
        </w:rPr>
      </w:pPr>
    </w:p>
    <w:p>
      <w:pPr>
        <w:jc w:val="center"/>
        <w:outlineLvl w:val="0"/>
        <w:rPr>
          <w:rFonts w:hint="eastAsia" w:ascii="方正小标宋_GBK" w:hAnsi="Times New Roman" w:eastAsia="方正小标宋_GBK" w:cs="Times New Roman"/>
          <w:color w:val="auto"/>
          <w:sz w:val="32"/>
          <w:szCs w:val="24"/>
          <w:lang w:val="en-US" w:eastAsia="zh-CN"/>
        </w:rPr>
      </w:pPr>
    </w:p>
    <w:p>
      <w:pPr>
        <w:jc w:val="center"/>
        <w:outlineLvl w:val="0"/>
        <w:rPr>
          <w:rFonts w:ascii="方正小标宋_GBK" w:hAnsi="Times New Roman" w:eastAsia="方正小标宋_GBK" w:cs="Times New Roman"/>
          <w:color w:val="auto"/>
          <w:sz w:val="32"/>
          <w:szCs w:val="24"/>
        </w:rPr>
      </w:pPr>
      <w:r>
        <w:rPr>
          <w:rFonts w:hint="eastAsia" w:ascii="方正小标宋_GBK" w:hAnsi="Times New Roman" w:eastAsia="方正小标宋_GBK" w:cs="Times New Roman"/>
          <w:color w:val="auto"/>
          <w:sz w:val="32"/>
          <w:szCs w:val="24"/>
          <w:lang w:val="en-US" w:eastAsia="zh-CN"/>
        </w:rPr>
        <w:t>单位</w:t>
      </w:r>
      <w:r>
        <w:rPr>
          <w:rFonts w:hint="eastAsia" w:ascii="方正小标宋_GBK" w:hAnsi="Times New Roman" w:eastAsia="方正小标宋_GBK" w:cs="Times New Roman"/>
          <w:color w:val="auto"/>
          <w:sz w:val="32"/>
          <w:szCs w:val="24"/>
        </w:rPr>
        <w:t>政府采购预算</w:t>
      </w:r>
      <w:bookmarkEnd w:id="4"/>
    </w:p>
    <w:tbl>
      <w:tblPr>
        <w:tblStyle w:val="4"/>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1120"/>
        <w:gridCol w:w="1157"/>
        <w:gridCol w:w="878"/>
        <w:gridCol w:w="878"/>
        <w:gridCol w:w="904"/>
        <w:gridCol w:w="961"/>
        <w:gridCol w:w="961"/>
        <w:gridCol w:w="961"/>
        <w:gridCol w:w="961"/>
        <w:gridCol w:w="962"/>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color w:val="auto"/>
                <w:sz w:val="24"/>
                <w:szCs w:val="24"/>
                <w:lang w:val="en-US" w:eastAsia="zh-CN"/>
              </w:rPr>
            </w:pPr>
            <w:r>
              <w:rPr>
                <w:rFonts w:hint="eastAsia" w:ascii="方正小标宋_GBK" w:hAnsi="Times New Roman" w:eastAsia="方正小标宋_GBK" w:cs="Times New Roman"/>
                <w:color w:val="auto"/>
                <w:sz w:val="18"/>
                <w:szCs w:val="18"/>
                <w:lang w:val="en-US" w:eastAsia="zh-CN"/>
              </w:rPr>
              <w:t>709001</w:t>
            </w:r>
            <w:r>
              <w:rPr>
                <w:rFonts w:hint="eastAsia" w:ascii="方正小标宋_GBK" w:hAnsi="Times New Roman" w:eastAsia="方正小标宋_GBK" w:cs="Times New Roman"/>
                <w:color w:val="auto"/>
                <w:sz w:val="18"/>
                <w:szCs w:val="18"/>
              </w:rPr>
              <w:t>霸州市</w:t>
            </w:r>
            <w:r>
              <w:rPr>
                <w:rFonts w:hint="eastAsia" w:ascii="方正小标宋_GBK" w:hAnsi="Times New Roman" w:eastAsia="方正小标宋_GBK" w:cs="Times New Roman"/>
                <w:color w:val="auto"/>
                <w:sz w:val="18"/>
                <w:szCs w:val="18"/>
                <w:lang w:val="en-US" w:eastAsia="zh-CN"/>
              </w:rPr>
              <w:t>水务</w:t>
            </w:r>
            <w:r>
              <w:rPr>
                <w:rFonts w:hint="eastAsia" w:ascii="方正小标宋_GBK" w:hAnsi="Times New Roman" w:eastAsia="方正小标宋_GBK" w:cs="Times New Roman"/>
                <w:color w:val="auto"/>
                <w:sz w:val="18"/>
                <w:szCs w:val="18"/>
              </w:rPr>
              <w:t>局</w:t>
            </w:r>
            <w:r>
              <w:rPr>
                <w:rFonts w:hint="eastAsia" w:ascii="方正小标宋_GBK" w:hAnsi="Times New Roman" w:eastAsia="方正小标宋_GBK" w:cs="Times New Roman"/>
                <w:color w:val="auto"/>
                <w:sz w:val="18"/>
                <w:szCs w:val="18"/>
                <w:lang w:val="en-US" w:eastAsia="zh-CN"/>
              </w:rPr>
              <w:t>本级</w:t>
            </w:r>
          </w:p>
        </w:tc>
        <w:tc>
          <w:tcPr>
            <w:tcW w:w="5645"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color w:val="auto"/>
                <w:sz w:val="18"/>
                <w:szCs w:val="18"/>
              </w:rPr>
            </w:pPr>
            <w:r>
              <w:rPr>
                <w:rFonts w:hint="eastAsia" w:ascii="方正小标宋_GBK" w:hAnsi="Times New Roman" w:eastAsia="方正小标宋_GBK" w:cs="Times New Roman"/>
                <w:color w:val="auto"/>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政府采购项目来源</w:t>
            </w:r>
          </w:p>
        </w:tc>
        <w:tc>
          <w:tcPr>
            <w:tcW w:w="1120"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采购物品名称</w:t>
            </w:r>
          </w:p>
        </w:tc>
        <w:tc>
          <w:tcPr>
            <w:tcW w:w="1157"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单价</w:t>
            </w:r>
          </w:p>
        </w:tc>
        <w:tc>
          <w:tcPr>
            <w:tcW w:w="5645" w:type="dxa"/>
            <w:gridSpan w:val="6"/>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预算资金</w:t>
            </w:r>
          </w:p>
        </w:tc>
        <w:tc>
          <w:tcPr>
            <w:tcW w:w="1120" w:type="dxa"/>
            <w:vMerge w:val="continue"/>
            <w:shd w:val="clear" w:color="auto" w:fill="auto"/>
            <w:vAlign w:val="center"/>
          </w:tcPr>
          <w:p>
            <w:pPr>
              <w:rPr>
                <w:rFonts w:ascii="Times New Roman" w:hAnsi="Times New Roman" w:eastAsia="宋体" w:cs="Times New Roman"/>
                <w:color w:val="auto"/>
                <w:szCs w:val="24"/>
              </w:rPr>
            </w:pPr>
          </w:p>
        </w:tc>
        <w:tc>
          <w:tcPr>
            <w:tcW w:w="1157" w:type="dxa"/>
            <w:vMerge w:val="continue"/>
            <w:shd w:val="clear" w:color="auto" w:fill="auto"/>
            <w:vAlign w:val="center"/>
          </w:tcPr>
          <w:p>
            <w:pPr>
              <w:rPr>
                <w:rFonts w:ascii="Times New Roman" w:hAnsi="Times New Roman" w:eastAsia="宋体" w:cs="Times New Roman"/>
                <w:color w:val="auto"/>
                <w:szCs w:val="24"/>
              </w:rPr>
            </w:pPr>
          </w:p>
        </w:tc>
        <w:tc>
          <w:tcPr>
            <w:tcW w:w="878" w:type="dxa"/>
            <w:vMerge w:val="continue"/>
            <w:shd w:val="clear" w:color="auto" w:fill="auto"/>
            <w:vAlign w:val="center"/>
          </w:tcPr>
          <w:p>
            <w:pPr>
              <w:rPr>
                <w:rFonts w:ascii="Times New Roman" w:hAnsi="Times New Roman" w:eastAsia="宋体" w:cs="Times New Roman"/>
                <w:color w:val="auto"/>
                <w:szCs w:val="24"/>
              </w:rPr>
            </w:pPr>
          </w:p>
        </w:tc>
        <w:tc>
          <w:tcPr>
            <w:tcW w:w="878" w:type="dxa"/>
            <w:vMerge w:val="continue"/>
            <w:shd w:val="clear" w:color="auto" w:fill="auto"/>
            <w:vAlign w:val="center"/>
          </w:tcPr>
          <w:p>
            <w:pPr>
              <w:rPr>
                <w:rFonts w:ascii="Times New Roman" w:hAnsi="Times New Roman" w:eastAsia="宋体" w:cs="Times New Roman"/>
                <w:color w:val="auto"/>
                <w:szCs w:val="24"/>
              </w:rPr>
            </w:pPr>
          </w:p>
        </w:tc>
        <w:tc>
          <w:tcPr>
            <w:tcW w:w="904" w:type="dxa"/>
            <w:vMerge w:val="continue"/>
            <w:shd w:val="clear" w:color="auto" w:fill="auto"/>
            <w:vAlign w:val="center"/>
          </w:tcPr>
          <w:p>
            <w:pPr>
              <w:rPr>
                <w:rFonts w:ascii="Times New Roman" w:hAnsi="Times New Roman" w:eastAsia="宋体" w:cs="Times New Roman"/>
                <w:color w:val="auto"/>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一般公共预算拨款</w:t>
            </w:r>
          </w:p>
        </w:tc>
        <w:tc>
          <w:tcPr>
            <w:tcW w:w="961" w:type="dxa"/>
            <w:shd w:val="clear" w:color="auto" w:fill="auto"/>
            <w:vAlign w:val="center"/>
          </w:tcPr>
          <w:p>
            <w:pPr>
              <w:spacing w:line="300" w:lineRule="exact"/>
              <w:jc w:val="center"/>
              <w:rPr>
                <w:color w:val="auto"/>
              </w:rPr>
            </w:pPr>
            <w:r>
              <w:rPr>
                <w:rFonts w:ascii="方正书宋_GBK" w:eastAsia="方正书宋_GBK" w:cs="Times New Roman"/>
                <w:b/>
                <w:color w:val="auto"/>
              </w:rPr>
              <w:t>基金预算拨款</w:t>
            </w:r>
          </w:p>
        </w:tc>
        <w:tc>
          <w:tcPr>
            <w:tcW w:w="961" w:type="dxa"/>
            <w:shd w:val="clear" w:color="auto" w:fill="auto"/>
            <w:vAlign w:val="center"/>
          </w:tcPr>
          <w:p>
            <w:pPr>
              <w:spacing w:line="300" w:lineRule="exact"/>
              <w:jc w:val="center"/>
              <w:rPr>
                <w:color w:val="auto"/>
              </w:rPr>
            </w:pPr>
            <w:r>
              <w:rPr>
                <w:rFonts w:ascii="方正书宋_GBK" w:eastAsia="方正书宋_GBK" w:cs="Times New Roman"/>
                <w:b/>
                <w:color w:val="auto"/>
              </w:rPr>
              <w:t>国有资本经营预算拨款</w:t>
            </w:r>
          </w:p>
        </w:tc>
        <w:tc>
          <w:tcPr>
            <w:tcW w:w="962" w:type="dxa"/>
            <w:shd w:val="clear" w:color="auto" w:fill="auto"/>
            <w:vAlign w:val="center"/>
          </w:tcPr>
          <w:p>
            <w:pPr>
              <w:spacing w:line="300" w:lineRule="exact"/>
              <w:jc w:val="center"/>
              <w:rPr>
                <w:color w:val="auto"/>
              </w:rPr>
            </w:pPr>
            <w:r>
              <w:rPr>
                <w:rFonts w:ascii="方正书宋_GBK" w:eastAsia="方正书宋_GBK" w:cs="Times New Roman"/>
                <w:b/>
                <w:color w:val="auto"/>
              </w:rPr>
              <w:t>财政专户核拨</w:t>
            </w:r>
          </w:p>
        </w:tc>
        <w:tc>
          <w:tcPr>
            <w:tcW w:w="839" w:type="dxa"/>
            <w:shd w:val="clear" w:color="auto" w:fill="auto"/>
            <w:vAlign w:val="center"/>
          </w:tcPr>
          <w:p>
            <w:pPr>
              <w:spacing w:line="300" w:lineRule="exact"/>
              <w:jc w:val="center"/>
              <w:rPr>
                <w:rFonts w:ascii="方正书宋_GBK" w:hAnsi="Times New Roman" w:eastAsia="方正书宋_GBK" w:cs="Times New Roman"/>
                <w:b/>
                <w:color w:val="auto"/>
                <w:szCs w:val="24"/>
              </w:rPr>
            </w:pPr>
            <w:r>
              <w:rPr>
                <w:rFonts w:ascii="方正书宋_GBK" w:eastAsia="方正书宋_GBK" w:cs="Times New Roman"/>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blHeader/>
          <w:jc w:val="center"/>
        </w:trPr>
        <w:tc>
          <w:tcPr>
            <w:tcW w:w="2200" w:type="dxa"/>
            <w:shd w:val="clear" w:color="auto" w:fill="auto"/>
            <w:vAlign w:val="center"/>
          </w:tcPr>
          <w:p>
            <w:pPr>
              <w:spacing w:line="300" w:lineRule="exact"/>
              <w:jc w:val="center"/>
              <w:rPr>
                <w:rFonts w:ascii="Times New Roman" w:hAnsi="Times New Roman" w:eastAsia="宋体" w:cs="Times New Roman"/>
                <w:color w:val="auto"/>
                <w:szCs w:val="24"/>
              </w:rPr>
            </w:pPr>
            <w:r>
              <w:rPr>
                <w:rFonts w:ascii="方正书宋_GBK" w:eastAsia="方正书宋_GBK" w:cs="Times New Roman"/>
                <w:b/>
                <w:color w:val="auto"/>
              </w:rPr>
              <w:t>合  计</w:t>
            </w:r>
          </w:p>
        </w:tc>
        <w:tc>
          <w:tcPr>
            <w:tcW w:w="1258" w:type="dxa"/>
            <w:shd w:val="clear" w:color="auto" w:fill="auto"/>
            <w:vAlign w:val="center"/>
          </w:tcPr>
          <w:p>
            <w:pPr>
              <w:spacing w:line="300" w:lineRule="exact"/>
              <w:jc w:val="right"/>
              <w:rPr>
                <w:rFonts w:hint="eastAsia" w:ascii="Times New Roman" w:hAnsi="Times New Roman" w:eastAsia="宋体" w:cs="Times New Roman"/>
                <w:color w:val="auto"/>
                <w:szCs w:val="24"/>
                <w:lang w:val="en-US" w:eastAsia="zh-CN"/>
              </w:rPr>
            </w:pPr>
            <w:r>
              <w:rPr>
                <w:rFonts w:hint="eastAsia" w:ascii="方正书宋_GBK" w:hAnsi="Times New Roman" w:eastAsia="方正书宋_GBK" w:cs="Times New Roman"/>
                <w:b/>
                <w:color w:val="auto"/>
                <w:szCs w:val="24"/>
                <w:lang w:val="en-US" w:eastAsia="zh-CN"/>
              </w:rPr>
              <w:t>7023.58</w:t>
            </w:r>
          </w:p>
        </w:tc>
        <w:tc>
          <w:tcPr>
            <w:tcW w:w="1120" w:type="dxa"/>
            <w:shd w:val="clear" w:color="auto" w:fill="auto"/>
            <w:vAlign w:val="center"/>
          </w:tcPr>
          <w:p>
            <w:pPr>
              <w:spacing w:line="300" w:lineRule="exact"/>
              <w:jc w:val="left"/>
              <w:rPr>
                <w:rFonts w:ascii="Times New Roman" w:hAnsi="Times New Roman" w:eastAsia="宋体" w:cs="Times New Roman"/>
                <w:color w:val="auto"/>
                <w:szCs w:val="24"/>
              </w:rPr>
            </w:pPr>
          </w:p>
        </w:tc>
        <w:tc>
          <w:tcPr>
            <w:tcW w:w="1157" w:type="dxa"/>
            <w:shd w:val="clear" w:color="auto" w:fill="auto"/>
            <w:vAlign w:val="center"/>
          </w:tcPr>
          <w:p>
            <w:pPr>
              <w:spacing w:line="300" w:lineRule="exact"/>
              <w:jc w:val="left"/>
              <w:rPr>
                <w:rFonts w:ascii="Times New Roman" w:hAnsi="Times New Roman" w:eastAsia="宋体" w:cs="Times New Roman"/>
                <w:color w:val="auto"/>
                <w:szCs w:val="24"/>
              </w:rPr>
            </w:pPr>
          </w:p>
        </w:tc>
        <w:tc>
          <w:tcPr>
            <w:tcW w:w="878" w:type="dxa"/>
            <w:shd w:val="clear" w:color="auto" w:fill="auto"/>
            <w:vAlign w:val="center"/>
          </w:tcPr>
          <w:p>
            <w:pPr>
              <w:spacing w:line="300" w:lineRule="exact"/>
              <w:jc w:val="center"/>
              <w:rPr>
                <w:rFonts w:ascii="Times New Roman" w:hAnsi="Times New Roman" w:eastAsia="宋体" w:cs="Times New Roman"/>
                <w:color w:val="auto"/>
                <w:szCs w:val="24"/>
              </w:rPr>
            </w:pPr>
          </w:p>
        </w:tc>
        <w:tc>
          <w:tcPr>
            <w:tcW w:w="878" w:type="dxa"/>
            <w:shd w:val="clear" w:color="auto" w:fill="auto"/>
            <w:vAlign w:val="center"/>
          </w:tcPr>
          <w:p>
            <w:pPr>
              <w:spacing w:line="300" w:lineRule="exact"/>
              <w:jc w:val="right"/>
              <w:rPr>
                <w:rFonts w:ascii="Times New Roman" w:hAnsi="Times New Roman" w:eastAsia="宋体" w:cs="Times New Roman"/>
                <w:color w:val="auto"/>
                <w:szCs w:val="24"/>
              </w:rPr>
            </w:pPr>
          </w:p>
        </w:tc>
        <w:tc>
          <w:tcPr>
            <w:tcW w:w="904" w:type="dxa"/>
            <w:shd w:val="clear" w:color="auto" w:fill="auto"/>
            <w:vAlign w:val="center"/>
          </w:tcPr>
          <w:p>
            <w:pPr>
              <w:spacing w:line="300" w:lineRule="exact"/>
              <w:jc w:val="right"/>
              <w:rPr>
                <w:rFonts w:ascii="Times New Roman" w:hAnsi="Times New Roman" w:eastAsia="宋体" w:cs="Times New Roman"/>
                <w:color w:val="auto"/>
                <w:szCs w:val="24"/>
              </w:rPr>
            </w:pPr>
          </w:p>
        </w:tc>
        <w:tc>
          <w:tcPr>
            <w:tcW w:w="961" w:type="dxa"/>
            <w:shd w:val="clear" w:color="auto" w:fill="auto"/>
            <w:vAlign w:val="center"/>
          </w:tcPr>
          <w:p>
            <w:pPr>
              <w:spacing w:line="300" w:lineRule="exact"/>
              <w:jc w:val="right"/>
              <w:rPr>
                <w:rFonts w:hint="eastAsia" w:ascii="方正书宋_GBK" w:hAnsi="Times New Roman" w:eastAsia="方正书宋_GBK" w:cs="Times New Roman"/>
                <w:b/>
                <w:color w:val="auto"/>
                <w:szCs w:val="24"/>
                <w:lang w:val="en-US" w:eastAsia="zh-CN"/>
              </w:rPr>
            </w:pPr>
            <w:r>
              <w:rPr>
                <w:rFonts w:hint="eastAsia" w:ascii="方正书宋_GBK" w:hAnsi="Times New Roman" w:eastAsia="方正书宋_GBK" w:cs="Times New Roman"/>
                <w:b/>
                <w:color w:val="auto"/>
                <w:szCs w:val="24"/>
                <w:lang w:val="en-US" w:eastAsia="zh-CN"/>
              </w:rPr>
              <w:t>7023.58</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color w:val="auto"/>
                <w:szCs w:val="24"/>
                <w:lang w:val="en-US" w:eastAsia="zh-CN"/>
              </w:rPr>
            </w:pPr>
            <w:r>
              <w:rPr>
                <w:rFonts w:hint="eastAsia" w:ascii="方正书宋_GBK" w:hAnsi="Times New Roman" w:eastAsia="方正书宋_GBK" w:cs="Times New Roman"/>
                <w:b/>
                <w:color w:val="auto"/>
                <w:szCs w:val="24"/>
                <w:lang w:val="en-US" w:eastAsia="zh-CN"/>
              </w:rPr>
              <w:t>7023.58</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Times New Roman" w:hAnsi="Times New Roman" w:eastAsia="宋体"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霸州农村用水水资源论证项目资金</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其他水资源管理服务</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C110299</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29.00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防汛资金</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349.68</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其他水利工程施工</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B020999</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349.68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349.68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349.68</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关于提前下达2021年中央水利发展资金预算的通知(冀财农[2020]135号)</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6312.90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水利管道</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A010316</w:t>
            </w:r>
          </w:p>
        </w:tc>
        <w:tc>
          <w:tcPr>
            <w:tcW w:w="878" w:type="dxa"/>
            <w:shd w:val="clear" w:color="auto" w:fill="auto"/>
            <w:vAlign w:val="center"/>
          </w:tcPr>
          <w:p>
            <w:pPr>
              <w:spacing w:line="300" w:lineRule="exact"/>
              <w:jc w:val="center"/>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6229.00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6229.00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6229.00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关于提前下达2021年中央水利发展资金预算的通知(冀财农[2020]135号)</w:t>
            </w:r>
          </w:p>
        </w:tc>
        <w:tc>
          <w:tcPr>
            <w:tcW w:w="1258"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6312.90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轴流泵</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A02051903</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台套</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38.92</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38.92</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38.92</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关于提前下达2021年中央水利发展资金预算的通知(冀财农[2020]135号)</w:t>
            </w:r>
          </w:p>
        </w:tc>
        <w:tc>
          <w:tcPr>
            <w:tcW w:w="1258"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6312.90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建筑物清洁服务</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C0811</w:t>
            </w:r>
          </w:p>
        </w:tc>
        <w:tc>
          <w:tcPr>
            <w:tcW w:w="878" w:type="dxa"/>
            <w:shd w:val="clear" w:color="auto" w:fill="auto"/>
            <w:vAlign w:val="center"/>
          </w:tcPr>
          <w:p>
            <w:pPr>
              <w:spacing w:line="300" w:lineRule="exact"/>
              <w:jc w:val="center"/>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40.98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40.98</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40.98</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南水北调霸州市配套工程霸州净水厂工程检测费</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56.00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土木建筑工程研究服务</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C010316</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56.00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56.00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56.00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胜芳镇石沟县办渠桥石沟河西小桥重建工程资金</w:t>
            </w:r>
          </w:p>
        </w:tc>
        <w:tc>
          <w:tcPr>
            <w:tcW w:w="125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280.00</w:t>
            </w:r>
          </w:p>
        </w:tc>
        <w:tc>
          <w:tcPr>
            <w:tcW w:w="1120"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其他桥梁工程施工</w:t>
            </w:r>
          </w:p>
        </w:tc>
        <w:tc>
          <w:tcPr>
            <w:tcW w:w="1157" w:type="dxa"/>
            <w:shd w:val="clear" w:color="auto" w:fill="auto"/>
            <w:vAlign w:val="center"/>
          </w:tcPr>
          <w:p>
            <w:pPr>
              <w:spacing w:line="300" w:lineRule="exact"/>
              <w:jc w:val="lef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B020799</w:t>
            </w:r>
          </w:p>
        </w:tc>
        <w:tc>
          <w:tcPr>
            <w:tcW w:w="878" w:type="dxa"/>
            <w:shd w:val="clear" w:color="auto" w:fill="auto"/>
            <w:vAlign w:val="center"/>
          </w:tcPr>
          <w:p>
            <w:pPr>
              <w:spacing w:line="300" w:lineRule="exact"/>
              <w:jc w:val="center"/>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项</w:t>
            </w:r>
          </w:p>
        </w:tc>
        <w:tc>
          <w:tcPr>
            <w:tcW w:w="878"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1</w:t>
            </w:r>
          </w:p>
        </w:tc>
        <w:tc>
          <w:tcPr>
            <w:tcW w:w="904" w:type="dxa"/>
            <w:shd w:val="clear" w:color="auto" w:fill="auto"/>
            <w:vAlign w:val="center"/>
          </w:tcPr>
          <w:p>
            <w:pPr>
              <w:spacing w:line="300" w:lineRule="exact"/>
              <w:jc w:val="right"/>
              <w:rPr>
                <w:rFonts w:hint="eastAsia" w:ascii="方正书宋_GBK" w:hAnsi="Times New Roman" w:eastAsia="方正书宋_GBK" w:cs="Times New Roman"/>
                <w:b w:val="0"/>
                <w:bCs/>
                <w:color w:val="auto"/>
                <w:szCs w:val="24"/>
                <w:lang w:val="en-US" w:eastAsia="zh-CN"/>
              </w:rPr>
            </w:pPr>
            <w:r>
              <w:rPr>
                <w:rFonts w:hint="eastAsia" w:ascii="方正书宋_GBK" w:hAnsi="Times New Roman" w:eastAsia="方正书宋_GBK" w:cs="Times New Roman"/>
                <w:b w:val="0"/>
                <w:bCs/>
                <w:color w:val="auto"/>
                <w:szCs w:val="24"/>
                <w:lang w:val="en-US" w:eastAsia="zh-CN"/>
              </w:rPr>
              <w:t>280.00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280.00</w:t>
            </w:r>
          </w:p>
        </w:tc>
        <w:tc>
          <w:tcPr>
            <w:tcW w:w="961" w:type="dxa"/>
            <w:shd w:val="clear" w:color="auto" w:fill="auto"/>
            <w:vAlign w:val="center"/>
          </w:tcPr>
          <w:p>
            <w:pPr>
              <w:spacing w:line="300" w:lineRule="exact"/>
              <w:jc w:val="right"/>
              <w:rPr>
                <w:rFonts w:ascii="方正书宋_GBK" w:hAnsi="Times New Roman" w:eastAsia="方正书宋_GBK" w:cs="Times New Roman"/>
                <w:b w:val="0"/>
                <w:bCs/>
                <w:color w:val="auto"/>
                <w:szCs w:val="24"/>
              </w:rPr>
            </w:pPr>
            <w:r>
              <w:rPr>
                <w:rFonts w:hint="eastAsia" w:ascii="方正书宋_GBK" w:hAnsi="Times New Roman" w:eastAsia="方正书宋_GBK" w:cs="Times New Roman"/>
                <w:b w:val="0"/>
                <w:bCs/>
                <w:color w:val="auto"/>
                <w:szCs w:val="24"/>
                <w:lang w:val="en-US" w:eastAsia="zh-CN"/>
              </w:rPr>
              <w:t>280.00</w:t>
            </w: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c>
          <w:tcPr>
            <w:tcW w:w="839" w:type="dxa"/>
            <w:shd w:val="clear" w:color="auto" w:fill="auto"/>
            <w:vAlign w:val="center"/>
          </w:tcPr>
          <w:p>
            <w:pPr>
              <w:spacing w:line="300" w:lineRule="exact"/>
              <w:jc w:val="right"/>
              <w:rPr>
                <w:rFonts w:ascii="方正书宋_GBK" w:hAnsi="Times New Roman" w:eastAsia="方正书宋_GBK" w:cs="Times New Roman"/>
                <w:b/>
                <w:color w:val="auto"/>
                <w:szCs w:val="24"/>
              </w:rPr>
            </w:pPr>
          </w:p>
        </w:tc>
      </w:tr>
    </w:tbl>
    <w:p>
      <w:pPr>
        <w:ind w:firstLine="640" w:firstLineChars="200"/>
        <w:rPr>
          <w:rFonts w:hint="eastAsia" w:ascii="黑体" w:hAnsi="黑体" w:eastAsia="黑体" w:cs="Times New Roman"/>
          <w:color w:val="auto"/>
          <w:sz w:val="32"/>
          <w:szCs w:val="32"/>
        </w:rPr>
      </w:pP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firstLineChars="200"/>
        <w:rPr>
          <w:rFonts w:ascii="仿宋_GB2312" w:hAnsi="Times New Roman" w:eastAsia="仿宋_GB2312" w:cs="Times New Roman"/>
          <w:b w:val="0"/>
          <w:bCs/>
          <w:color w:val="auto"/>
          <w:sz w:val="32"/>
          <w:szCs w:val="32"/>
        </w:rPr>
      </w:pPr>
      <w:r>
        <w:rPr>
          <w:rFonts w:hint="eastAsia" w:ascii="仿宋_GB2312" w:hAnsi="黑体" w:eastAsia="仿宋_GB2312" w:cs="Times New Roman"/>
          <w:color w:val="auto"/>
          <w:sz w:val="32"/>
          <w:szCs w:val="32"/>
        </w:rPr>
        <w:t>霸州市</w:t>
      </w:r>
      <w:r>
        <w:rPr>
          <w:rFonts w:hint="eastAsia" w:ascii="仿宋_GB2312" w:hAnsi="黑体" w:eastAsia="仿宋_GB2312" w:cs="Times New Roman"/>
          <w:color w:val="auto"/>
          <w:sz w:val="32"/>
          <w:szCs w:val="32"/>
          <w:lang w:val="en-US" w:eastAsia="zh-CN"/>
        </w:rPr>
        <w:t>水务局</w:t>
      </w:r>
      <w:r>
        <w:rPr>
          <w:rFonts w:hint="eastAsia" w:ascii="仿宋_GB2312" w:hAnsi="黑体" w:eastAsia="仿宋_GB2312" w:cs="Times New Roman"/>
          <w:color w:val="auto"/>
          <w:sz w:val="32"/>
          <w:szCs w:val="32"/>
        </w:rPr>
        <w:t>上年末固定资产金额为</w:t>
      </w:r>
      <w:r>
        <w:rPr>
          <w:rFonts w:hint="eastAsia" w:ascii="仿宋_GB2312" w:hAnsi="黑体" w:eastAsia="仿宋_GB2312" w:cs="Times New Roman"/>
          <w:color w:val="auto"/>
          <w:sz w:val="32"/>
          <w:szCs w:val="32"/>
          <w:lang w:val="en-US" w:eastAsia="zh-CN"/>
        </w:rPr>
        <w:t>1266.09</w:t>
      </w:r>
      <w:r>
        <w:rPr>
          <w:rFonts w:hint="eastAsia" w:ascii="仿宋_GB2312" w:hAnsi="黑体" w:eastAsia="仿宋_GB2312" w:cs="Times New Roman"/>
          <w:color w:val="auto"/>
          <w:sz w:val="32"/>
          <w:szCs w:val="32"/>
        </w:rPr>
        <w:t>万元（详见下表）</w:t>
      </w:r>
      <w:r>
        <w:rPr>
          <w:rFonts w:hint="eastAsia" w:ascii="仿宋_GB2312" w:hAnsi="黑体" w:eastAsia="仿宋_GB2312" w:cs="Times New Roman"/>
          <w:color w:val="auto"/>
          <w:sz w:val="32"/>
          <w:szCs w:val="32"/>
          <w:lang w:eastAsia="zh-CN"/>
        </w:rPr>
        <w:t>。</w:t>
      </w:r>
      <w:r>
        <w:rPr>
          <w:rFonts w:ascii="仿宋_GB2312" w:hAnsi="黑体" w:eastAsia="仿宋_GB2312" w:cs="Times New Roman"/>
          <w:b w:val="0"/>
          <w:bCs/>
          <w:color w:val="auto"/>
          <w:sz w:val="32"/>
          <w:szCs w:val="32"/>
        </w:rPr>
        <w:t>202</w:t>
      </w:r>
      <w:r>
        <w:rPr>
          <w:rFonts w:hint="eastAsia" w:ascii="仿宋_GB2312" w:hAnsi="黑体" w:eastAsia="仿宋_GB2312" w:cs="Times New Roman"/>
          <w:b w:val="0"/>
          <w:bCs/>
          <w:color w:val="auto"/>
          <w:sz w:val="32"/>
          <w:szCs w:val="32"/>
          <w:lang w:val="en-US" w:eastAsia="zh-CN"/>
        </w:rPr>
        <w:t>1</w:t>
      </w:r>
      <w:r>
        <w:rPr>
          <w:rFonts w:hint="eastAsia" w:ascii="仿宋_GB2312" w:hAnsi="黑体" w:eastAsia="仿宋_GB2312" w:cs="Times New Roman"/>
          <w:b w:val="0"/>
          <w:bCs/>
          <w:color w:val="auto"/>
          <w:sz w:val="32"/>
          <w:szCs w:val="32"/>
        </w:rPr>
        <w:t>年</w:t>
      </w:r>
      <w:r>
        <w:rPr>
          <w:rFonts w:ascii="仿宋_GB2312" w:hAnsi="黑体" w:eastAsia="仿宋_GB2312" w:cs="Times New Roman"/>
          <w:b w:val="0"/>
          <w:bCs/>
          <w:color w:val="auto"/>
          <w:sz w:val="32"/>
          <w:szCs w:val="32"/>
        </w:rPr>
        <w:t>，我</w:t>
      </w:r>
      <w:r>
        <w:rPr>
          <w:rFonts w:hint="eastAsia" w:ascii="仿宋_GB2312" w:hAnsi="黑体" w:eastAsia="仿宋_GB2312" w:cs="Times New Roman"/>
          <w:b w:val="0"/>
          <w:bCs/>
          <w:color w:val="auto"/>
          <w:sz w:val="32"/>
          <w:szCs w:val="32"/>
          <w:lang w:val="en-US" w:eastAsia="zh-CN"/>
        </w:rPr>
        <w:t>单位</w:t>
      </w:r>
      <w:r>
        <w:rPr>
          <w:rFonts w:ascii="仿宋_GB2312" w:hAnsi="黑体" w:eastAsia="仿宋_GB2312" w:cs="Times New Roman"/>
          <w:b w:val="0"/>
          <w:bCs/>
          <w:color w:val="auto"/>
          <w:sz w:val="32"/>
          <w:szCs w:val="32"/>
        </w:rPr>
        <w:t>无新增固定资产计划</w:t>
      </w:r>
      <w:r>
        <w:rPr>
          <w:rFonts w:hint="eastAsia" w:ascii="仿宋_GB2312" w:hAnsi="黑体" w:eastAsia="仿宋_GB2312" w:cs="Times New Roman"/>
          <w:b w:val="0"/>
          <w:bCs/>
          <w:color w:val="auto"/>
          <w:sz w:val="32"/>
          <w:szCs w:val="32"/>
        </w:rPr>
        <w:t>。</w:t>
      </w:r>
    </w:p>
    <w:tbl>
      <w:tblPr>
        <w:tblStyle w:val="4"/>
        <w:tblW w:w="13482" w:type="dxa"/>
        <w:tblInd w:w="93" w:type="dxa"/>
        <w:tblLayout w:type="fixed"/>
        <w:tblCellMar>
          <w:top w:w="0" w:type="dxa"/>
          <w:left w:w="108" w:type="dxa"/>
          <w:bottom w:w="0" w:type="dxa"/>
          <w:right w:w="108" w:type="dxa"/>
        </w:tblCellMar>
      </w:tblPr>
      <w:tblGrid>
        <w:gridCol w:w="5224"/>
        <w:gridCol w:w="3548"/>
        <w:gridCol w:w="4710"/>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霸州市</w:t>
            </w:r>
            <w:r>
              <w:rPr>
                <w:rFonts w:hint="eastAsia" w:ascii="宋体" w:hAnsi="宋体" w:eastAsia="宋体" w:cs="宋体"/>
                <w:b/>
                <w:bCs/>
                <w:color w:val="auto"/>
                <w:kern w:val="0"/>
                <w:sz w:val="32"/>
                <w:szCs w:val="32"/>
                <w:lang w:val="en-US" w:eastAsia="zh-CN"/>
              </w:rPr>
              <w:t>水务局单位</w:t>
            </w:r>
            <w:r>
              <w:rPr>
                <w:rFonts w:hint="eastAsia" w:ascii="宋体" w:hAnsi="宋体" w:eastAsia="宋体" w:cs="宋体"/>
                <w:b/>
                <w:bCs/>
                <w:color w:val="auto"/>
                <w:kern w:val="0"/>
                <w:sz w:val="32"/>
                <w:szCs w:val="32"/>
              </w:rPr>
              <w:t>固定资产占用情况表</w:t>
            </w:r>
          </w:p>
        </w:tc>
      </w:tr>
      <w:tr>
        <w:tblPrEx>
          <w:tblCellMar>
            <w:top w:w="0" w:type="dxa"/>
            <w:left w:w="108" w:type="dxa"/>
            <w:bottom w:w="0" w:type="dxa"/>
            <w:right w:w="108" w:type="dxa"/>
          </w:tblCellMar>
        </w:tblPrEx>
        <w:trPr>
          <w:trHeight w:val="510" w:hRule="atLeast"/>
        </w:trPr>
        <w:tc>
          <w:tcPr>
            <w:tcW w:w="8772"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编制部门：</w:t>
            </w:r>
            <w:r>
              <w:rPr>
                <w:rFonts w:hint="eastAsia" w:ascii="宋体" w:hAnsi="宋体" w:eastAsia="宋体" w:cs="宋体"/>
                <w:color w:val="auto"/>
                <w:kern w:val="0"/>
                <w:sz w:val="22"/>
                <w:lang w:val="en-US" w:eastAsia="zh-CN"/>
              </w:rPr>
              <w:t>709001</w:t>
            </w:r>
            <w:r>
              <w:rPr>
                <w:rFonts w:hint="eastAsia" w:ascii="宋体" w:hAnsi="宋体" w:eastAsia="宋体" w:cs="宋体"/>
                <w:color w:val="auto"/>
                <w:kern w:val="0"/>
                <w:sz w:val="22"/>
              </w:rPr>
              <w:t>霸州市</w:t>
            </w:r>
            <w:r>
              <w:rPr>
                <w:rFonts w:hint="eastAsia" w:ascii="宋体" w:hAnsi="宋体" w:eastAsia="宋体" w:cs="宋体"/>
                <w:color w:val="auto"/>
                <w:kern w:val="0"/>
                <w:sz w:val="22"/>
                <w:lang w:val="en-US" w:eastAsia="zh-CN"/>
              </w:rPr>
              <w:t>水务</w:t>
            </w:r>
            <w:r>
              <w:rPr>
                <w:rFonts w:hint="eastAsia" w:ascii="宋体" w:hAnsi="宋体" w:eastAsia="宋体" w:cs="宋体"/>
                <w:color w:val="auto"/>
                <w:kern w:val="0"/>
                <w:sz w:val="22"/>
              </w:rPr>
              <w:t>局</w:t>
            </w:r>
            <w:r>
              <w:rPr>
                <w:rFonts w:hint="eastAsia" w:ascii="宋体" w:hAnsi="宋体" w:eastAsia="宋体" w:cs="宋体"/>
                <w:color w:val="auto"/>
                <w:kern w:val="0"/>
                <w:sz w:val="22"/>
                <w:lang w:val="en-US" w:eastAsia="zh-CN"/>
              </w:rPr>
              <w:t>本级</w:t>
            </w:r>
          </w:p>
        </w:tc>
        <w:tc>
          <w:tcPr>
            <w:tcW w:w="4710"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color w:val="auto"/>
                <w:kern w:val="0"/>
                <w:sz w:val="22"/>
              </w:rPr>
            </w:pPr>
            <w:r>
              <w:rPr>
                <w:rFonts w:hint="eastAsia" w:ascii="宋体" w:hAnsi="宋体" w:eastAsia="宋体" w:cs="宋体"/>
                <w:color w:val="auto"/>
                <w:kern w:val="0"/>
                <w:sz w:val="22"/>
              </w:rPr>
              <w:t>截止时间：20</w:t>
            </w: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项   目</w:t>
            </w:r>
          </w:p>
        </w:tc>
        <w:tc>
          <w:tcPr>
            <w:tcW w:w="35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数量</w:t>
            </w:r>
          </w:p>
        </w:tc>
        <w:tc>
          <w:tcPr>
            <w:tcW w:w="47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资产总额</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1266.09</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1、房屋（平方米）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其中：办公用房（平方米）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2、车辆（台、辆）</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2</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79.64</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3、单价在20万元以上的设备</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4、其他固定资产</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1186.45</w:t>
            </w:r>
          </w:p>
        </w:tc>
      </w:tr>
    </w:tbl>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w:t>
      </w:r>
      <w:r>
        <w:rPr>
          <w:rFonts w:ascii="仿宋_GB2312" w:hAnsi="黑体" w:eastAsia="仿宋_GB2312" w:cs="Times New Roman"/>
          <w:color w:val="auto"/>
          <w:sz w:val="32"/>
          <w:szCs w:val="32"/>
        </w:rPr>
        <w:t xml:space="preserve">   </w:t>
      </w:r>
      <w:r>
        <w:rPr>
          <w:rFonts w:hint="eastAsia" w:ascii="仿宋_GB2312" w:hAnsi="黑体" w:eastAsia="仿宋_GB2312" w:cs="Times New Roman"/>
          <w:color w:val="auto"/>
          <w:sz w:val="32"/>
          <w:szCs w:val="32"/>
        </w:rPr>
        <w:t>1、一般公共预算拨款收入：指市级财政当年拨付的资金。</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2、事业收入：指事业单位开展专业业务活动及辅助活动所取得的收入。</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4、基本支出：指为保障机构正常运转、完成日常工作任务而发生的人员支出和公用支出。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5、项目支出：指在基本支出之外为完成特定行政任务和事业发展目标所发生的支出。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6、上缴上级支出：指下级单位上缴上级的支出。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7、“三公”经费：纳入市级财政预算管理的“三公”经费，是指</w:t>
      </w:r>
      <w:r>
        <w:rPr>
          <w:rFonts w:hint="eastAsia" w:ascii="仿宋_GB2312" w:hAnsi="黑体" w:eastAsia="仿宋_GB2312" w:cs="Times New Roman"/>
          <w:color w:val="auto"/>
          <w:sz w:val="32"/>
          <w:szCs w:val="32"/>
          <w:lang w:val="en-US" w:eastAsia="zh-CN"/>
        </w:rPr>
        <w:t>预算单位</w:t>
      </w:r>
      <w:r>
        <w:rPr>
          <w:rFonts w:hint="eastAsia" w:ascii="仿宋_GB2312" w:hAnsi="黑体" w:eastAsia="仿宋_GB2312" w:cs="Times New Roman"/>
          <w:color w:val="auto"/>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    8</w:t>
      </w:r>
      <w:r>
        <w:rPr>
          <w:rFonts w:hint="eastAsia" w:ascii="仿宋_GB2312" w:hAnsi="黑体" w:eastAsia="仿宋_GB2312" w:cs="Times New Roman"/>
          <w:color w:val="auto"/>
          <w:sz w:val="32"/>
          <w:szCs w:val="32"/>
          <w:highlight w:val="none"/>
        </w:rPr>
        <w:t>、机关运行费：</w:t>
      </w:r>
      <w:r>
        <w:rPr>
          <w:rFonts w:hint="eastAsia" w:ascii="仿宋_GB2312" w:hAnsi="黑体" w:eastAsia="仿宋_GB2312" w:cs="Times New Roman"/>
          <w:color w:val="auto"/>
          <w:sz w:val="32"/>
          <w:szCs w:val="32"/>
          <w:lang w:val="en-US" w:eastAsia="zh-CN"/>
        </w:rPr>
        <w:t>是指各单位的公用经费</w:t>
      </w:r>
      <w:r>
        <w:rPr>
          <w:rFonts w:hint="eastAsia" w:ascii="仿宋_GB2312" w:hAnsi="黑体" w:eastAsia="仿宋_GB2312" w:cs="Times New Roman"/>
          <w:color w:val="auto"/>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九、其他需要说明的事项</w:t>
      </w:r>
    </w:p>
    <w:p>
      <w:pPr>
        <w:ind w:firstLine="640"/>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无其他需要说明的事项。</w:t>
      </w:r>
    </w:p>
    <w:p>
      <w:pPr>
        <w:ind w:firstLine="640"/>
        <w:rPr>
          <w:rFonts w:hint="eastAsia" w:ascii="仿宋_GB2312" w:hAnsi="黑体" w:eastAsia="仿宋_GB2312" w:cs="Times New Roman"/>
          <w:color w:val="auto"/>
          <w:sz w:val="32"/>
          <w:szCs w:val="32"/>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center"/>
        <w:outlineLvl w:val="3"/>
        <w:rPr>
          <w:rFonts w:hint="eastAsia" w:ascii="方正小标宋_GBK" w:eastAsia="方正小标宋_GBK"/>
          <w:sz w:val="44"/>
        </w:rPr>
      </w:pPr>
      <w:r>
        <w:rPr>
          <w:rFonts w:hint="eastAsia" w:ascii="方正小标宋_GBK" w:eastAsia="方正小标宋_GBK"/>
          <w:sz w:val="44"/>
          <w:lang w:val="en-US" w:eastAsia="zh-CN"/>
        </w:rPr>
        <w:t>霸州市水务局水利工程管理处</w:t>
      </w:r>
      <w:r>
        <w:rPr>
          <w:rFonts w:hint="eastAsia" w:ascii="方正小标宋_GBK" w:eastAsia="方正小标宋_GBK"/>
          <w:sz w:val="44"/>
        </w:rPr>
        <w:t>收支预算</w:t>
      </w:r>
    </w:p>
    <w:p>
      <w:pPr>
        <w:ind w:firstLine="640"/>
        <w:rPr>
          <w:rFonts w:hint="eastAsia" w:ascii="仿宋_GB2312" w:hAnsi="黑体" w:eastAsia="仿宋_GB2312" w:cs="Times New Roman"/>
          <w:color w:val="auto"/>
          <w:sz w:val="32"/>
          <w:szCs w:val="32"/>
        </w:rPr>
      </w:pPr>
    </w:p>
    <w:p>
      <w:pPr>
        <w:numPr>
          <w:ilvl w:val="0"/>
          <w:numId w:val="0"/>
        </w:numPr>
        <w:ind w:firstLine="5180" w:firstLineChars="1200"/>
        <w:jc w:val="both"/>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单位预算收支总表</w:t>
      </w:r>
    </w:p>
    <w:p>
      <w:pPr>
        <w:numPr>
          <w:ilvl w:val="0"/>
          <w:numId w:val="0"/>
        </w:numPr>
        <w:jc w:val="both"/>
        <w:outlineLvl w:val="3"/>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8"/>
        <w:gridCol w:w="3582"/>
        <w:gridCol w:w="3631"/>
        <w:gridCol w:w="3582"/>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7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单位预算收</w:t>
      </w:r>
      <w:r>
        <w:rPr>
          <w:rFonts w:hint="eastAsia" w:ascii="宋体" w:hAnsi="宋体" w:cs="宋体"/>
          <w:b/>
          <w:i w:val="0"/>
          <w:color w:val="000000"/>
          <w:kern w:val="0"/>
          <w:sz w:val="43"/>
          <w:szCs w:val="43"/>
          <w:u w:val="none"/>
          <w:lang w:val="en-US" w:eastAsia="zh-CN" w:bidi="ar"/>
        </w:rPr>
        <w:t>入</w:t>
      </w:r>
      <w:r>
        <w:rPr>
          <w:rFonts w:hint="eastAsia" w:ascii="宋体" w:hAnsi="宋体" w:eastAsia="宋体" w:cs="宋体"/>
          <w:b/>
          <w:i w:val="0"/>
          <w:color w:val="000000"/>
          <w:kern w:val="0"/>
          <w:sz w:val="43"/>
          <w:szCs w:val="43"/>
          <w:u w:val="none"/>
          <w:lang w:val="en-US" w:eastAsia="zh-CN" w:bidi="ar"/>
        </w:rPr>
        <w:t>总表</w:t>
      </w:r>
    </w:p>
    <w:p>
      <w:pPr>
        <w:numPr>
          <w:ilvl w:val="0"/>
          <w:numId w:val="0"/>
        </w:numPr>
        <w:jc w:val="both"/>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0"/>
        <w:gridCol w:w="1476"/>
        <w:gridCol w:w="2680"/>
        <w:gridCol w:w="1342"/>
        <w:gridCol w:w="658"/>
        <w:gridCol w:w="659"/>
        <w:gridCol w:w="657"/>
        <w:gridCol w:w="657"/>
        <w:gridCol w:w="668"/>
        <w:gridCol w:w="1355"/>
        <w:gridCol w:w="1353"/>
        <w:gridCol w:w="657"/>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6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5180" w:firstLineChars="1200"/>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w:t>
      </w:r>
      <w:r>
        <w:rPr>
          <w:rFonts w:hint="eastAsia" w:ascii="宋体" w:hAnsi="宋体" w:cs="宋体"/>
          <w:b/>
          <w:i w:val="0"/>
          <w:color w:val="000000"/>
          <w:kern w:val="0"/>
          <w:sz w:val="43"/>
          <w:szCs w:val="43"/>
          <w:u w:val="none"/>
          <w:lang w:val="en-US" w:eastAsia="zh-CN" w:bidi="ar"/>
        </w:rPr>
        <w:t>支出</w:t>
      </w:r>
      <w:r>
        <w:rPr>
          <w:rFonts w:hint="eastAsia" w:ascii="宋体" w:hAnsi="宋体" w:eastAsia="宋体" w:cs="宋体"/>
          <w:b/>
          <w:i w:val="0"/>
          <w:color w:val="000000"/>
          <w:kern w:val="0"/>
          <w:sz w:val="43"/>
          <w:szCs w:val="43"/>
          <w:u w:val="none"/>
          <w:lang w:val="en-US" w:eastAsia="zh-CN" w:bidi="ar"/>
        </w:rPr>
        <w:t>总表</w:t>
      </w:r>
    </w:p>
    <w:p>
      <w:pPr>
        <w:numPr>
          <w:ilvl w:val="0"/>
          <w:numId w:val="0"/>
        </w:numP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5"/>
        <w:gridCol w:w="2293"/>
        <w:gridCol w:w="3986"/>
        <w:gridCol w:w="1995"/>
        <w:gridCol w:w="994"/>
        <w:gridCol w:w="977"/>
        <w:gridCol w:w="978"/>
        <w:gridCol w:w="977"/>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单位预算财政拨款收支总表</w:t>
      </w:r>
    </w:p>
    <w:p>
      <w:pPr>
        <w:numPr>
          <w:ilvl w:val="0"/>
          <w:numId w:val="0"/>
        </w:numP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4"/>
        <w:gridCol w:w="2670"/>
        <w:gridCol w:w="2737"/>
        <w:gridCol w:w="2670"/>
        <w:gridCol w:w="1190"/>
        <w:gridCol w:w="1188"/>
        <w:gridCol w:w="555"/>
        <w:gridCol w:w="2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82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numPr>
          <w:ilvl w:val="0"/>
          <w:numId w:val="0"/>
        </w:numPr>
        <w:rPr>
          <w:rFonts w:hint="eastAsia"/>
          <w:lang w:val="en-US" w:eastAsia="zh-CN"/>
        </w:rPr>
      </w:pPr>
    </w:p>
    <w:p>
      <w:pPr>
        <w:numPr>
          <w:ilvl w:val="0"/>
          <w:numId w:val="0"/>
        </w:numPr>
        <w:jc w:val="center"/>
        <w:rPr>
          <w:rFonts w:hint="eastAsia"/>
          <w:lang w:val="en-US" w:eastAsia="zh-CN"/>
        </w:rPr>
      </w:pPr>
      <w:r>
        <w:rPr>
          <w:rFonts w:hint="eastAsia" w:ascii="宋体" w:hAnsi="宋体" w:eastAsia="宋体" w:cs="宋体"/>
          <w:b/>
          <w:i w:val="0"/>
          <w:color w:val="000000"/>
          <w:kern w:val="0"/>
          <w:sz w:val="43"/>
          <w:szCs w:val="43"/>
          <w:u w:val="none"/>
          <w:lang w:val="en-US" w:eastAsia="zh-CN" w:bidi="ar"/>
        </w:rPr>
        <w:t>单位预算一般公共预算财政拨款支出表</w:t>
      </w:r>
    </w:p>
    <w:p>
      <w:pPr>
        <w:numPr>
          <w:ilvl w:val="0"/>
          <w:numId w:val="0"/>
        </w:numPr>
        <w:rPr>
          <w:rFonts w:hint="eastAsia"/>
          <w:lang w:val="en-US" w:eastAsia="zh-CN"/>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4"/>
        <w:gridCol w:w="1835"/>
        <w:gridCol w:w="3142"/>
        <w:gridCol w:w="2535"/>
        <w:gridCol w:w="1281"/>
        <w:gridCol w:w="796"/>
        <w:gridCol w:w="1264"/>
        <w:gridCol w:w="2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2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2130399</w:t>
            </w: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其他水利支出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单位预算一般公共预算财政拨款基本支出表</w:t>
      </w:r>
    </w:p>
    <w:p>
      <w:pPr>
        <w:numPr>
          <w:ilvl w:val="0"/>
          <w:numId w:val="0"/>
        </w:numPr>
        <w:rPr>
          <w:rFonts w:hint="eastAsia"/>
          <w:lang w:val="en-US" w:eastAsia="zh-CN"/>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0"/>
        <w:gridCol w:w="2048"/>
        <w:gridCol w:w="3354"/>
        <w:gridCol w:w="3475"/>
        <w:gridCol w:w="994"/>
        <w:gridCol w:w="3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7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907.98</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672.57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672.57</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定额人员补助</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672.57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672.57</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235.41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235.41</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235.41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235.41</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单位预算政府基金预算财政拨款支出表</w:t>
      </w:r>
    </w:p>
    <w:p>
      <w:pPr>
        <w:numPr>
          <w:ilvl w:val="0"/>
          <w:numId w:val="0"/>
        </w:numP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w:t>
      </w:r>
      <w:r>
        <w:rPr>
          <w:rFonts w:hint="eastAsia" w:ascii="宋体" w:hAnsi="宋体" w:cs="宋体"/>
          <w:i w:val="0"/>
          <w:color w:val="000000"/>
          <w:kern w:val="0"/>
          <w:sz w:val="18"/>
          <w:szCs w:val="18"/>
          <w:u w:val="none"/>
          <w:lang w:val="en-US" w:eastAsia="zh-CN" w:bidi="ar"/>
        </w:rPr>
        <w:t xml:space="preserve">1                                        </w:t>
      </w:r>
      <w:r>
        <w:rPr>
          <w:rFonts w:hint="eastAsia" w:ascii="宋体" w:hAnsi="宋体" w:eastAsia="宋体" w:cs="宋体"/>
          <w:i w:val="0"/>
          <w:color w:val="000000"/>
          <w:kern w:val="0"/>
          <w:sz w:val="18"/>
          <w:szCs w:val="18"/>
          <w:u w:val="none"/>
          <w:lang w:val="en-US" w:eastAsia="zh-CN" w:bidi="ar"/>
        </w:rPr>
        <w:t>金额单位：万元</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2"/>
        <w:gridCol w:w="3178"/>
        <w:gridCol w:w="5525"/>
        <w:gridCol w:w="1379"/>
        <w:gridCol w:w="1354"/>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bl>
    <w:p>
      <w:pPr>
        <w:numPr>
          <w:ilvl w:val="0"/>
          <w:numId w:val="0"/>
        </w:num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注：无政府基金预算，空表列示</w:t>
      </w:r>
    </w:p>
    <w:p>
      <w:pPr>
        <w:numPr>
          <w:ilvl w:val="0"/>
          <w:numId w:val="0"/>
        </w:numPr>
        <w:rPr>
          <w:rFonts w:hint="eastAsia" w:ascii="仿宋" w:hAnsi="仿宋" w:eastAsia="仿宋" w:cs="仿宋"/>
          <w:i w:val="0"/>
          <w:color w:val="000000"/>
          <w:kern w:val="0"/>
          <w:sz w:val="24"/>
          <w:szCs w:val="24"/>
          <w:u w:val="none"/>
          <w:lang w:val="en-US" w:eastAsia="zh-CN" w:bidi="ar"/>
        </w:rPr>
      </w:pPr>
    </w:p>
    <w:p>
      <w:pPr>
        <w:numPr>
          <w:ilvl w:val="0"/>
          <w:numId w:val="0"/>
        </w:numPr>
        <w:rPr>
          <w:rFonts w:hint="eastAsia" w:ascii="仿宋" w:hAnsi="仿宋" w:eastAsia="仿宋" w:cs="仿宋"/>
          <w:i w:val="0"/>
          <w:color w:val="000000"/>
          <w:kern w:val="0"/>
          <w:sz w:val="24"/>
          <w:szCs w:val="24"/>
          <w:u w:val="none"/>
          <w:lang w:val="en-US" w:eastAsia="zh-CN" w:bidi="ar"/>
        </w:rPr>
      </w:pPr>
    </w:p>
    <w:p>
      <w:pPr>
        <w:numPr>
          <w:ilvl w:val="0"/>
          <w:numId w:val="0"/>
        </w:numPr>
        <w:rPr>
          <w:rFonts w:hint="eastAsia" w:ascii="仿宋" w:hAnsi="仿宋" w:eastAsia="仿宋" w:cs="仿宋"/>
          <w:i w:val="0"/>
          <w:color w:val="000000"/>
          <w:kern w:val="0"/>
          <w:sz w:val="24"/>
          <w:szCs w:val="24"/>
          <w:u w:val="none"/>
          <w:lang w:val="en-US" w:eastAsia="zh-CN" w:bidi="ar"/>
        </w:rPr>
      </w:pPr>
    </w:p>
    <w:p>
      <w:pPr>
        <w:numPr>
          <w:ilvl w:val="0"/>
          <w:numId w:val="0"/>
        </w:numPr>
        <w:jc w:val="cente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单位预算国有资本经营预算财政拨款支出表</w:t>
      </w:r>
    </w:p>
    <w:p>
      <w:pPr>
        <w:numPr>
          <w:ilvl w:val="0"/>
          <w:numId w:val="0"/>
        </w:numP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r>
        <w:rPr>
          <w:rFonts w:hint="eastAsia" w:ascii="宋体" w:hAnsi="宋体" w:cs="宋体"/>
          <w:i w:val="0"/>
          <w:color w:val="000000"/>
          <w:kern w:val="0"/>
          <w:sz w:val="18"/>
          <w:szCs w:val="18"/>
          <w:u w:val="none"/>
          <w:lang w:val="en-US" w:eastAsia="zh-CN" w:bidi="ar"/>
        </w:rPr>
        <w:t xml:space="preserve">        </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2"/>
        <w:gridCol w:w="3178"/>
        <w:gridCol w:w="5525"/>
        <w:gridCol w:w="1379"/>
        <w:gridCol w:w="1354"/>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bl>
    <w:p>
      <w:pPr>
        <w:numPr>
          <w:ilvl w:val="0"/>
          <w:numId w:val="0"/>
        </w:numP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注：无国有资本经营预算，空表列示</w:t>
      </w:r>
    </w:p>
    <w:p>
      <w:pPr>
        <w:numPr>
          <w:ilvl w:val="0"/>
          <w:numId w:val="0"/>
        </w:numPr>
        <w:rPr>
          <w:rFonts w:hint="eastAsia" w:ascii="仿宋" w:hAnsi="仿宋" w:eastAsia="仿宋" w:cs="仿宋"/>
          <w:i w:val="0"/>
          <w:color w:val="000000"/>
          <w:kern w:val="0"/>
          <w:sz w:val="24"/>
          <w:szCs w:val="24"/>
          <w:u w:val="none"/>
          <w:lang w:val="en-US" w:eastAsia="zh-CN" w:bidi="ar"/>
        </w:rPr>
      </w:pPr>
    </w:p>
    <w:p>
      <w:pPr>
        <w:numPr>
          <w:ilvl w:val="0"/>
          <w:numId w:val="0"/>
        </w:numPr>
        <w:jc w:val="center"/>
        <w:rPr>
          <w:rFonts w:hint="eastAsia" w:ascii="宋体" w:hAnsi="宋体" w:eastAsia="宋体" w:cs="宋体"/>
          <w:b/>
          <w:i w:val="0"/>
          <w:color w:val="000000"/>
          <w:kern w:val="0"/>
          <w:sz w:val="43"/>
          <w:szCs w:val="43"/>
          <w:u w:val="none"/>
          <w:lang w:val="en-US" w:eastAsia="zh-CN" w:bidi="ar"/>
        </w:rPr>
      </w:pPr>
      <w:r>
        <w:rPr>
          <w:rFonts w:hint="eastAsia" w:ascii="宋体" w:hAnsi="宋体" w:eastAsia="宋体" w:cs="宋体"/>
          <w:b/>
          <w:i w:val="0"/>
          <w:color w:val="000000"/>
          <w:kern w:val="0"/>
          <w:sz w:val="43"/>
          <w:szCs w:val="43"/>
          <w:u w:val="none"/>
          <w:lang w:val="en-US" w:eastAsia="zh-CN" w:bidi="ar"/>
        </w:rPr>
        <w:t>单位预算财政拨款“三公”经费支出表</w:t>
      </w:r>
    </w:p>
    <w:p>
      <w:pPr>
        <w:numPr>
          <w:ilvl w:val="0"/>
          <w:numId w:val="0"/>
        </w:numP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预算单位编码及名称：[709003]霸州市水务局水利工程管理处</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预算年度：2021</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金额单位：万元</w:t>
      </w:r>
      <w:r>
        <w:rPr>
          <w:rFonts w:hint="eastAsia" w:ascii="宋体" w:hAnsi="宋体" w:cs="宋体"/>
          <w:i w:val="0"/>
          <w:color w:val="000000"/>
          <w:kern w:val="0"/>
          <w:sz w:val="18"/>
          <w:szCs w:val="18"/>
          <w:u w:val="none"/>
          <w:lang w:val="en-US" w:eastAsia="zh-CN" w:bidi="ar"/>
        </w:rPr>
        <w:t xml:space="preserve">               </w:t>
      </w:r>
    </w:p>
    <w:tbl>
      <w:tblPr>
        <w:tblStyle w:val="4"/>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8"/>
        <w:gridCol w:w="4991"/>
        <w:gridCol w:w="3031"/>
        <w:gridCol w:w="986"/>
        <w:gridCol w:w="1023"/>
        <w:gridCol w:w="3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8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numPr>
          <w:ilvl w:val="0"/>
          <w:numId w:val="0"/>
        </w:numPr>
        <w:ind w:firstLine="420" w:firstLineChars="0"/>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注：无三公经费预算，空表列示</w:t>
      </w:r>
    </w:p>
    <w:p>
      <w:pPr>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霸州市</w:t>
      </w: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水务局水利工程管理处</w:t>
      </w:r>
      <w:r>
        <w:rPr>
          <w:rFonts w:hint="eastAsia" w:ascii="方正小标宋简体" w:hAnsi="Times New Roman" w:eastAsia="方正小标宋简体" w:cs="Times New Roman"/>
          <w:color w:val="000000" w:themeColor="text1"/>
          <w:sz w:val="44"/>
          <w:szCs w:val="44"/>
          <w14:textFill>
            <w14:solidFill>
              <w14:schemeClr w14:val="tx1"/>
            </w14:solidFill>
          </w14:textFill>
        </w:rPr>
        <w:t>20</w:t>
      </w:r>
      <w:r>
        <w:rPr>
          <w:rFonts w:ascii="方正小标宋简体" w:hAnsi="Times New Roman" w:eastAsia="方正小标宋简体" w:cs="Times New Roman"/>
          <w:color w:val="000000" w:themeColor="text1"/>
          <w:sz w:val="44"/>
          <w:szCs w:val="44"/>
          <w14:textFill>
            <w14:solidFill>
              <w14:schemeClr w14:val="tx1"/>
            </w14:solidFill>
          </w14:textFill>
        </w:rPr>
        <w:t>2</w:t>
      </w: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1</w:t>
      </w:r>
      <w:r>
        <w:rPr>
          <w:rFonts w:hint="eastAsia" w:ascii="方正小标宋简体" w:hAnsi="Times New Roman" w:eastAsia="方正小标宋简体" w:cs="Times New Roman"/>
          <w:color w:val="000000" w:themeColor="text1"/>
          <w:sz w:val="44"/>
          <w:szCs w:val="44"/>
          <w14:textFill>
            <w14:solidFill>
              <w14:schemeClr w14:val="tx1"/>
            </w14:solidFill>
          </w14:textFill>
        </w:rPr>
        <w:t>年</w:t>
      </w: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单位</w:t>
      </w:r>
      <w:r>
        <w:rPr>
          <w:rFonts w:hint="eastAsia" w:ascii="方正小标宋简体" w:hAnsi="Times New Roman" w:eastAsia="方正小标宋简体" w:cs="Times New Roman"/>
          <w:color w:val="000000" w:themeColor="text1"/>
          <w:sz w:val="44"/>
          <w:szCs w:val="44"/>
          <w14:textFill>
            <w14:solidFill>
              <w14:schemeClr w14:val="tx1"/>
            </w14:solidFill>
          </w14:textFill>
        </w:rPr>
        <w:t>预算信息公开</w:t>
      </w:r>
    </w:p>
    <w:p>
      <w:pPr>
        <w:spacing w:line="584"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霸州市水务局水利工程管理处</w:t>
      </w: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预算公开如下：</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w:t>
      </w:r>
      <w:r>
        <w:rPr>
          <w:rFonts w:hint="eastAsia" w:ascii="黑体" w:hAnsi="黑体" w:eastAsia="黑体" w:cs="Times New Roman"/>
          <w:color w:val="000000" w:themeColor="text1"/>
          <w:sz w:val="32"/>
          <w:szCs w:val="32"/>
          <w:lang w:val="en-US" w:eastAsia="zh-CN"/>
          <w14:textFill>
            <w14:solidFill>
              <w14:schemeClr w14:val="tx1"/>
            </w14:solidFill>
          </w14:textFill>
        </w:rPr>
        <w:t>单位</w:t>
      </w:r>
      <w:r>
        <w:rPr>
          <w:rFonts w:hint="eastAsia" w:ascii="黑体" w:hAnsi="黑体" w:eastAsia="黑体" w:cs="Times New Roman"/>
          <w:color w:val="000000" w:themeColor="text1"/>
          <w:sz w:val="32"/>
          <w:szCs w:val="32"/>
          <w14:textFill>
            <w14:solidFill>
              <w14:schemeClr w14:val="tx1"/>
            </w14:solidFill>
          </w14:textFill>
        </w:rPr>
        <w:t>职责及机构设置情况</w:t>
      </w:r>
    </w:p>
    <w:p>
      <w:pPr>
        <w:ind w:firstLine="643" w:firstLineChars="200"/>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lang w:val="en-US" w:eastAsia="zh-CN"/>
          <w14:textFill>
            <w14:solidFill>
              <w14:schemeClr w14:val="tx1"/>
            </w14:solidFill>
          </w14:textFill>
        </w:rPr>
        <w:t>单位</w:t>
      </w:r>
      <w:r>
        <w:rPr>
          <w:rFonts w:hint="eastAsia" w:ascii="楷体_GB2312" w:hAnsi="Times New Roman" w:eastAsia="楷体_GB2312" w:cs="Times New Roman"/>
          <w:b/>
          <w:color w:val="000000" w:themeColor="text1"/>
          <w:sz w:val="32"/>
          <w:szCs w:val="32"/>
          <w14:textFill>
            <w14:solidFill>
              <w14:schemeClr w14:val="tx1"/>
            </w14:solidFill>
          </w14:textFill>
        </w:rPr>
        <w:t>职责：</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为已建水利工程正常运行提供管理保障，日常维护，机械设备运行管理，运行中安全监测，提供抢险物资储备调拨与经营管理</w:t>
      </w:r>
      <w:r>
        <w:rPr>
          <w:rFonts w:hint="eastAsia" w:ascii="仿宋_GB2312" w:hAnsi="Times New Roman" w:eastAsia="仿宋_GB2312" w:cs="Times New Roman"/>
          <w:color w:val="000000" w:themeColor="text1"/>
          <w:sz w:val="32"/>
          <w:szCs w:val="32"/>
          <w14:textFill>
            <w14:solidFill>
              <w14:schemeClr w14:val="tx1"/>
            </w14:solidFill>
          </w14:textFill>
        </w:rPr>
        <w:t>。</w:t>
      </w:r>
    </w:p>
    <w:p>
      <w:pPr>
        <w:autoSpaceDE w:val="0"/>
        <w:autoSpaceDN w:val="0"/>
        <w:adjustRightInd w:val="0"/>
        <w:ind w:firstLine="643" w:firstLineChars="200"/>
        <w:jc w:val="left"/>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机构设置：</w:t>
      </w:r>
    </w:p>
    <w:p>
      <w:pPr>
        <w:jc w:val="center"/>
        <w:outlineLvl w:val="0"/>
        <w:rPr>
          <w:rFonts w:ascii="Times New Roman" w:hAnsi="Times New Roman" w:eastAsia="方正小标宋_GBK" w:cs="Times New Roman"/>
          <w:color w:val="000000" w:themeColor="text1"/>
          <w:sz w:val="32"/>
          <w:szCs w:val="24"/>
          <w14:textFill>
            <w14:solidFill>
              <w14:schemeClr w14:val="tx1"/>
            </w14:solidFill>
          </w14:textFill>
        </w:rPr>
      </w:pPr>
      <w:r>
        <w:rPr>
          <w:rFonts w:hint="eastAsia" w:ascii="Times New Roman" w:hAnsi="Times New Roman" w:eastAsia="方正小标宋_GBK" w:cs="Times New Roman"/>
          <w:color w:val="000000" w:themeColor="text1"/>
          <w:sz w:val="32"/>
          <w:szCs w:val="24"/>
          <w:lang w:val="en-US" w:eastAsia="zh-CN"/>
          <w14:textFill>
            <w14:solidFill>
              <w14:schemeClr w14:val="tx1"/>
            </w14:solidFill>
          </w14:textFill>
        </w:rPr>
        <w:t>单位</w:t>
      </w:r>
      <w:r>
        <w:rPr>
          <w:rFonts w:hint="eastAsia" w:ascii="Times New Roman" w:hAnsi="Times New Roman" w:eastAsia="方正小标宋_GBK" w:cs="Times New Roman"/>
          <w:color w:val="000000" w:themeColor="text1"/>
          <w:sz w:val="32"/>
          <w:szCs w:val="24"/>
          <w14:textFill>
            <w14:solidFill>
              <w14:schemeClr w14:val="tx1"/>
            </w14:solidFill>
          </w14:textFill>
        </w:rPr>
        <w:t>机构设置情况</w:t>
      </w:r>
    </w:p>
    <w:tbl>
      <w:tblPr>
        <w:tblStyle w:val="4"/>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default"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霸州市水务局水利工程管理处</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事业</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正股级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财政性资金定额或定向补助</w:t>
            </w:r>
          </w:p>
        </w:tc>
      </w:tr>
    </w:tbl>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w:t>
      </w:r>
      <w:r>
        <w:rPr>
          <w:rFonts w:hint="eastAsia" w:ascii="黑体" w:hAnsi="黑体" w:eastAsia="黑体" w:cs="Times New Roman"/>
          <w:color w:val="000000" w:themeColor="text1"/>
          <w:sz w:val="32"/>
          <w:szCs w:val="32"/>
          <w:lang w:val="en-US" w:eastAsia="zh-CN"/>
          <w14:textFill>
            <w14:solidFill>
              <w14:schemeClr w14:val="tx1"/>
            </w14:solidFill>
          </w14:textFill>
        </w:rPr>
        <w:t>单位</w:t>
      </w:r>
      <w:r>
        <w:rPr>
          <w:rFonts w:hint="eastAsia" w:ascii="黑体" w:hAnsi="黑体" w:eastAsia="黑体" w:cs="Times New Roman"/>
          <w:color w:val="000000" w:themeColor="text1"/>
          <w:sz w:val="32"/>
          <w:szCs w:val="32"/>
          <w14:textFill>
            <w14:solidFill>
              <w14:schemeClr w14:val="tx1"/>
            </w14:solidFill>
          </w14:textFill>
        </w:rPr>
        <w:t>预算安排的总体情况</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按照预算管理有关规定，目前我市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仿宋_GB2312" w:hAnsi="Times New Roman" w:eastAsia="仿宋_GB2312" w:cs="Times New Roman"/>
          <w:color w:val="000000" w:themeColor="text1"/>
          <w:sz w:val="32"/>
          <w:szCs w:val="32"/>
          <w14:textFill>
            <w14:solidFill>
              <w14:schemeClr w14:val="tx1"/>
            </w14:solidFill>
          </w14:textFill>
        </w:rPr>
        <w:t>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反映本</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仿宋_GB2312" w:hAnsi="Times New Roman" w:eastAsia="仿宋_GB2312" w:cs="Times New Roman"/>
          <w:color w:val="000000" w:themeColor="text1"/>
          <w:sz w:val="32"/>
          <w:szCs w:val="32"/>
          <w14:textFill>
            <w14:solidFill>
              <w14:schemeClr w14:val="tx1"/>
            </w14:solidFill>
          </w14:textFill>
        </w:rPr>
        <w:t>当年全部收入。20</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年预算收入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907.98</w:t>
      </w:r>
      <w:r>
        <w:rPr>
          <w:rFonts w:hint="eastAsia" w:ascii="仿宋_GB2312" w:hAnsi="Times New Roman" w:eastAsia="仿宋_GB2312" w:cs="Times New Roman"/>
          <w:color w:val="000000" w:themeColor="text1"/>
          <w:sz w:val="32"/>
          <w:szCs w:val="32"/>
          <w14:textFill>
            <w14:solidFill>
              <w14:schemeClr w14:val="tx1"/>
            </w14:solidFill>
          </w14:textFill>
        </w:rPr>
        <w:t>万元，其中：一般公共预算收入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907.98</w:t>
      </w:r>
      <w:r>
        <w:rPr>
          <w:rFonts w:hint="eastAsia" w:ascii="仿宋_GB2312" w:hAnsi="Times New Roman" w:eastAsia="仿宋_GB2312" w:cs="Times New Roman"/>
          <w:color w:val="000000" w:themeColor="text1"/>
          <w:sz w:val="32"/>
          <w:szCs w:val="32"/>
          <w14:textFill>
            <w14:solidFill>
              <w14:schemeClr w14:val="tx1"/>
            </w14:solidFill>
          </w14:textFill>
        </w:rPr>
        <w:t>万元，政府性基金预算收入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14:textFill>
            <w14:solidFill>
              <w14:schemeClr w14:val="tx1"/>
            </w14:solidFill>
          </w14:textFill>
        </w:rPr>
        <w:t>，国有资本经营</w:t>
      </w:r>
      <w:r>
        <w:rPr>
          <w:rFonts w:ascii="仿宋_GB2312" w:hAnsi="Times New Roman" w:eastAsia="仿宋_GB2312" w:cs="Times New Roman"/>
          <w:color w:val="000000" w:themeColor="text1"/>
          <w:sz w:val="32"/>
          <w:szCs w:val="32"/>
          <w14:textFill>
            <w14:solidFill>
              <w14:schemeClr w14:val="tx1"/>
            </w14:solidFill>
          </w14:textFill>
        </w:rPr>
        <w:t>预算收入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财政专户管理资金收入0万元，</w:t>
      </w:r>
      <w:r>
        <w:rPr>
          <w:rFonts w:ascii="仿宋_GB2312" w:hAnsi="Times New Roman" w:eastAsia="仿宋_GB2312" w:cs="Times New Roman"/>
          <w:color w:val="000000" w:themeColor="text1"/>
          <w:sz w:val="32"/>
          <w:szCs w:val="32"/>
          <w14:textFill>
            <w14:solidFill>
              <w14:schemeClr w14:val="tx1"/>
            </w14:solidFill>
          </w14:textFill>
        </w:rPr>
        <w:t>上级补助收入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14:textFill>
            <w14:solidFill>
              <w14:schemeClr w14:val="tx1"/>
            </w14:solidFill>
          </w14:textFill>
        </w:rPr>
        <w:t>事业收入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万元，经营</w:t>
      </w:r>
      <w:r>
        <w:rPr>
          <w:rFonts w:ascii="仿宋_GB2312" w:hAnsi="Times New Roman" w:eastAsia="仿宋_GB2312" w:cs="Times New Roman"/>
          <w:color w:val="000000" w:themeColor="text1"/>
          <w:sz w:val="32"/>
          <w:szCs w:val="32"/>
          <w14:textFill>
            <w14:solidFill>
              <w14:schemeClr w14:val="tx1"/>
            </w14:solidFill>
          </w14:textFill>
        </w:rPr>
        <w:t>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万元，附属单位上缴</w:t>
      </w:r>
      <w:r>
        <w:rPr>
          <w:rFonts w:ascii="仿宋_GB2312" w:hAnsi="Times New Roman" w:eastAsia="仿宋_GB2312" w:cs="Times New Roman"/>
          <w:color w:val="000000" w:themeColor="text1"/>
          <w:sz w:val="32"/>
          <w:szCs w:val="32"/>
          <w14:textFill>
            <w14:solidFill>
              <w14:schemeClr w14:val="tx1"/>
            </w14:solidFill>
          </w14:textFill>
        </w:rPr>
        <w:t>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14:textFill>
            <w14:solidFill>
              <w14:schemeClr w14:val="tx1"/>
            </w14:solidFill>
          </w14:textFill>
        </w:rPr>
        <w:t>其他收入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收支预算总表支出栏、基本支出表、项目支出表按经济分类和支出功能分类科目编制，反映霸州市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水务局水利工程管理处</w:t>
      </w: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年度</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仿宋_GB2312" w:hAnsi="Times New Roman" w:eastAsia="仿宋_GB2312" w:cs="Times New Roman"/>
          <w:color w:val="000000" w:themeColor="text1"/>
          <w:sz w:val="32"/>
          <w:szCs w:val="32"/>
          <w14:textFill>
            <w14:solidFill>
              <w14:schemeClr w14:val="tx1"/>
            </w14:solidFill>
          </w14:textFill>
        </w:rPr>
        <w:t>预算中支出预算的总体情况。20</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年本</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仿宋_GB2312" w:hAnsi="Times New Roman" w:eastAsia="仿宋_GB2312" w:cs="Times New Roman"/>
          <w:color w:val="000000" w:themeColor="text1"/>
          <w:sz w:val="32"/>
          <w:szCs w:val="32"/>
          <w14:textFill>
            <w14:solidFill>
              <w14:schemeClr w14:val="tx1"/>
            </w14:solidFill>
          </w14:textFill>
        </w:rPr>
        <w:t>支出预算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907.98</w:t>
      </w:r>
      <w:r>
        <w:rPr>
          <w:rFonts w:hint="eastAsia" w:ascii="仿宋_GB2312" w:hAnsi="Times New Roman" w:eastAsia="仿宋_GB2312" w:cs="Times New Roman"/>
          <w:color w:val="000000" w:themeColor="text1"/>
          <w:sz w:val="32"/>
          <w:szCs w:val="32"/>
          <w14:textFill>
            <w14:solidFill>
              <w14:schemeClr w14:val="tx1"/>
            </w14:solidFill>
          </w14:textFill>
        </w:rPr>
        <w:t>万元，其中：基本支出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907.98</w:t>
      </w:r>
      <w:r>
        <w:rPr>
          <w:rFonts w:hint="eastAsia" w:ascii="仿宋_GB2312" w:hAnsi="Times New Roman" w:eastAsia="仿宋_GB2312" w:cs="Times New Roman"/>
          <w:color w:val="000000" w:themeColor="text1"/>
          <w:sz w:val="32"/>
          <w:szCs w:val="32"/>
          <w14:textFill>
            <w14:solidFill>
              <w14:schemeClr w14:val="tx1"/>
            </w14:solidFill>
          </w14:textFill>
        </w:rPr>
        <w:t>万元，包括：人员</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类项目</w:t>
      </w:r>
      <w:r>
        <w:rPr>
          <w:rFonts w:hint="eastAsia" w:ascii="仿宋_GB2312" w:hAnsi="Times New Roman" w:eastAsia="仿宋_GB2312" w:cs="Times New Roman"/>
          <w:color w:val="000000" w:themeColor="text1"/>
          <w:sz w:val="32"/>
          <w:szCs w:val="32"/>
          <w14:textFill>
            <w14:solidFill>
              <w14:schemeClr w14:val="tx1"/>
            </w14:solidFill>
          </w14:textFill>
        </w:rPr>
        <w:t>经费</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907.98</w:t>
      </w:r>
      <w:r>
        <w:rPr>
          <w:rFonts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14:textFill>
            <w14:solidFill>
              <w14:schemeClr w14:val="tx1"/>
            </w14:solidFill>
          </w14:textFill>
        </w:rPr>
        <w:t>和</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运转类</w:t>
      </w:r>
      <w:r>
        <w:rPr>
          <w:rFonts w:hint="eastAsia" w:ascii="仿宋_GB2312" w:hAnsi="Times New Roman" w:eastAsia="仿宋_GB2312" w:cs="Times New Roman"/>
          <w:color w:val="000000" w:themeColor="text1"/>
          <w:sz w:val="32"/>
          <w:szCs w:val="32"/>
          <w14:textFill>
            <w14:solidFill>
              <w14:schemeClr w14:val="tx1"/>
            </w14:solidFill>
          </w14:textFill>
        </w:rPr>
        <w:t>公用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项目</w:t>
      </w:r>
      <w:r>
        <w:rPr>
          <w:rFonts w:hint="eastAsia" w:ascii="仿宋_GB2312" w:hAnsi="Times New Roman" w:eastAsia="仿宋_GB2312" w:cs="Times New Roman"/>
          <w:color w:val="000000" w:themeColor="text1"/>
          <w:sz w:val="32"/>
          <w:szCs w:val="32"/>
          <w14:textFill>
            <w14:solidFill>
              <w14:schemeClr w14:val="tx1"/>
            </w14:solidFill>
          </w14:textFill>
        </w:rPr>
        <w:t>经费</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运转类其他及特定目标类</w:t>
      </w:r>
      <w:r>
        <w:rPr>
          <w:rFonts w:hint="eastAsia" w:ascii="仿宋_GB2312" w:hAnsi="Times New Roman" w:eastAsia="仿宋_GB2312" w:cs="Times New Roman"/>
          <w:color w:val="000000" w:themeColor="text1"/>
          <w:sz w:val="32"/>
          <w:szCs w:val="32"/>
          <w14:textFill>
            <w14:solidFill>
              <w14:schemeClr w14:val="tx1"/>
            </w14:solidFill>
          </w14:textFill>
        </w:rPr>
        <w:t>项目支出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万元，全部为本级</w:t>
      </w:r>
      <w:r>
        <w:rPr>
          <w:rFonts w:ascii="仿宋_GB2312" w:hAnsi="Times New Roman" w:eastAsia="仿宋_GB2312" w:cs="Times New Roman"/>
          <w:color w:val="000000" w:themeColor="text1"/>
          <w:sz w:val="32"/>
          <w:szCs w:val="32"/>
          <w14:textFill>
            <w14:solidFill>
              <w14:schemeClr w14:val="tx1"/>
            </w14:solidFill>
          </w14:textFill>
        </w:rPr>
        <w:t>支出，</w:t>
      </w:r>
      <w:r>
        <w:rPr>
          <w:rFonts w:hint="eastAsia" w:ascii="仿宋_GB2312" w:hAnsi="Times New Roman" w:eastAsia="仿宋_GB2312" w:cs="Times New Roman"/>
          <w:color w:val="000000" w:themeColor="text1"/>
          <w:sz w:val="32"/>
          <w:szCs w:val="32"/>
          <w14:textFill>
            <w14:solidFill>
              <w14:schemeClr w14:val="tx1"/>
            </w14:solidFill>
          </w14:textFill>
        </w:rPr>
        <w:t>主要为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人员经费</w:t>
      </w:r>
      <w:r>
        <w:rPr>
          <w:rFonts w:hint="eastAsia" w:ascii="仿宋_GB2312" w:hAnsi="Times New Roman" w:eastAsia="仿宋_GB2312" w:cs="Times New Roman"/>
          <w:color w:val="000000" w:themeColor="text1"/>
          <w:sz w:val="32"/>
          <w:szCs w:val="32"/>
          <w14:textFill>
            <w14:solidFill>
              <w14:schemeClr w14:val="tx1"/>
            </w14:solidFill>
          </w14:textFill>
        </w:rPr>
        <w:t>（等；上缴上级支出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Fonts w:ascii="仿宋_GB2312" w:hAnsi="Times New Roman" w:eastAsia="仿宋_GB2312" w:cs="Times New Roman"/>
          <w:color w:val="000000" w:themeColor="text1"/>
          <w:sz w:val="32"/>
          <w:szCs w:val="32"/>
          <w14:textFill>
            <w14:solidFill>
              <w14:schemeClr w14:val="tx1"/>
            </w14:solidFill>
          </w14:textFill>
        </w:rPr>
        <w:t>经营支出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ascii="仿宋_GB2312" w:hAnsi="Times New Roman" w:eastAsia="仿宋_GB2312" w:cs="Times New Roman"/>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themeColor="text1"/>
          <w:sz w:val="32"/>
          <w:szCs w:val="32"/>
          <w14:textFill>
            <w14:solidFill>
              <w14:schemeClr w14:val="tx1"/>
            </w14:solidFill>
          </w14:textFill>
        </w:rPr>
        <w:t>对附属单位补助支出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14:textFill>
            <w14:solidFill>
              <w14:schemeClr w14:val="tx1"/>
            </w14:solidFill>
          </w14:textFill>
        </w:rPr>
        <w:t>20</w:t>
      </w:r>
      <w:r>
        <w:rPr>
          <w:rFonts w:ascii="仿宋_GB2312" w:hAnsi="Times New Roman" w:eastAsia="仿宋_GB2312" w:cs="Times New Roman"/>
          <w:color w:val="000000" w:themeColor="text1"/>
          <w:sz w:val="32"/>
          <w:szCs w:val="32"/>
          <w:highlight w:val="none"/>
          <w14:textFill>
            <w14:solidFill>
              <w14:schemeClr w14:val="tx1"/>
            </w14:solidFill>
          </w14:textFill>
        </w:rPr>
        <w:t>2</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年预算收支安排</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907.98</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万元，较20</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20</w:t>
      </w:r>
      <w:r>
        <w:rPr>
          <w:rFonts w:hint="eastAsia" w:ascii="仿宋_GB2312" w:hAnsi="Times New Roman" w:eastAsia="仿宋_GB2312" w:cs="Times New Roman"/>
          <w:color w:val="000000" w:themeColor="text1"/>
          <w:sz w:val="32"/>
          <w:szCs w:val="32"/>
          <w:highlight w:val="none"/>
          <w14:textFill>
            <w14:solidFill>
              <w14:schemeClr w14:val="tx1"/>
            </w14:solidFill>
          </w14:textFill>
        </w:rPr>
        <w:t>预算减少</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12.75</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万元，其中：基本支出减少</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12.75</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万元，主要为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人员经费减少</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支出；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2021年，我单位无项目支出</w:t>
      </w:r>
      <w:r>
        <w:rPr>
          <w:rFonts w:hint="eastAsia" w:ascii="仿宋_GB2312" w:hAnsi="Times New Roman" w:eastAsia="仿宋_GB2312" w:cs="Times New Roman"/>
          <w:color w:val="000000" w:themeColor="text1"/>
          <w:sz w:val="32"/>
          <w:szCs w:val="32"/>
          <w:highlight w:val="none"/>
          <w14:textFill>
            <w14:solidFill>
              <w14:schemeClr w14:val="tx1"/>
            </w14:solidFill>
          </w14:textFill>
        </w:rPr>
        <w:t>。</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三、机关运行经费安排情况</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2021年，我单位无机关运行经费预算。</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sz w:val="32"/>
          <w:szCs w:val="32"/>
          <w:lang w:val="en-US" w:eastAsia="zh-CN"/>
        </w:rPr>
        <w:t>2021年，我单位无</w:t>
      </w:r>
      <w:r>
        <w:rPr>
          <w:rFonts w:ascii="黑体" w:hAnsi="黑体" w:eastAsia="黑体" w:cs="Times New Roman"/>
          <w:sz w:val="32"/>
          <w:szCs w:val="32"/>
        </w:rPr>
        <w:t>“</w:t>
      </w:r>
      <w:r>
        <w:rPr>
          <w:rFonts w:hint="eastAsia" w:ascii="仿宋_GB2312" w:hAnsi="Times New Roman" w:eastAsia="仿宋_GB2312" w:cs="Times New Roman"/>
          <w:sz w:val="32"/>
          <w:szCs w:val="32"/>
          <w:lang w:val="en-US" w:eastAsia="zh-CN"/>
        </w:rPr>
        <w:t>三公</w:t>
      </w:r>
      <w:r>
        <w:rPr>
          <w:rFonts w:ascii="黑体" w:hAnsi="黑体" w:eastAsia="黑体" w:cs="Times New Roman"/>
          <w:sz w:val="32"/>
          <w:szCs w:val="32"/>
        </w:rPr>
        <w:t>”</w:t>
      </w:r>
      <w:r>
        <w:rPr>
          <w:rFonts w:hint="eastAsia" w:ascii="仿宋_GB2312" w:hAnsi="Times New Roman" w:eastAsia="仿宋_GB2312" w:cs="Times New Roman"/>
          <w:sz w:val="32"/>
          <w:szCs w:val="32"/>
          <w:lang w:val="en-US" w:eastAsia="zh-CN"/>
        </w:rPr>
        <w:t>经费预算。</w:t>
      </w:r>
    </w:p>
    <w:p>
      <w:pPr>
        <w:numPr>
          <w:ilvl w:val="0"/>
          <w:numId w:val="13"/>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预算绩效信息</w:t>
      </w:r>
    </w:p>
    <w:p>
      <w:pPr>
        <w:numPr>
          <w:ilvl w:val="0"/>
          <w:numId w:val="0"/>
        </w:numPr>
        <w:ind w:firstLine="640" w:firstLineChars="200"/>
        <w:rPr>
          <w:rFonts w:ascii="仿宋_GB2312" w:hAnsi="黑体" w:eastAsia="仿宋_GB2312" w:cs="Times New Roman"/>
          <w:b w:val="0"/>
          <w:bCs/>
          <w:color w:val="000000" w:themeColor="text1"/>
          <w:sz w:val="32"/>
          <w:szCs w:val="32"/>
          <w14:textFill>
            <w14:solidFill>
              <w14:schemeClr w14:val="tx1"/>
            </w14:solidFill>
          </w14:textFill>
        </w:rPr>
      </w:pPr>
      <w:r>
        <w:rPr>
          <w:rFonts w:hint="eastAsia" w:ascii="楷体_GB2312" w:hAnsi="Times New Roman" w:eastAsia="楷体_GB2312" w:cs="Times New Roman"/>
          <w:b w:val="0"/>
          <w:bCs/>
          <w:sz w:val="32"/>
          <w:szCs w:val="32"/>
          <w:lang w:val="en-US" w:eastAsia="zh-CN"/>
        </w:rPr>
        <w:t>2021年，我单位无预算绩效信息。</w:t>
      </w:r>
      <w:r>
        <w:rPr>
          <w:rFonts w:hint="eastAsia" w:ascii="楷体_GB2312" w:hAnsi="Times New Roman" w:eastAsia="楷体_GB2312" w:cs="Times New Roman"/>
          <w:b w:val="0"/>
          <w:bCs/>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b w:val="0"/>
          <w:bCs/>
          <w:color w:val="000000" w:themeColor="text1"/>
          <w:sz w:val="32"/>
          <w:szCs w:val="32"/>
          <w14:textFill>
            <w14:solidFill>
              <w14:schemeClr w14:val="tx1"/>
            </w14:solidFill>
          </w14:textFill>
        </w:rPr>
      </w:pPr>
      <w:r>
        <w:rPr>
          <w:rFonts w:ascii="仿宋_GB2312" w:hAnsi="Times New Roman" w:eastAsia="仿宋_GB2312" w:cs="Times New Roman"/>
          <w:b w:val="0"/>
          <w:bCs/>
          <w:color w:val="000000" w:themeColor="text1"/>
          <w:sz w:val="32"/>
          <w:szCs w:val="32"/>
          <w14:textFill>
            <w14:solidFill>
              <w14:schemeClr w14:val="tx1"/>
            </w14:solidFill>
          </w14:textFill>
        </w:rPr>
        <w:t>202</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1</w:t>
      </w:r>
      <w:r>
        <w:rPr>
          <w:rFonts w:hint="eastAsia" w:ascii="仿宋_GB2312" w:hAnsi="Times New Roman" w:eastAsia="仿宋_GB2312" w:cs="Times New Roman"/>
          <w:b w:val="0"/>
          <w:bCs/>
          <w:color w:val="000000" w:themeColor="text1"/>
          <w:sz w:val="32"/>
          <w:szCs w:val="32"/>
          <w14:textFill>
            <w14:solidFill>
              <w14:schemeClr w14:val="tx1"/>
            </w14:solidFill>
          </w14:textFill>
        </w:rPr>
        <w:t>年</w:t>
      </w:r>
      <w:r>
        <w:rPr>
          <w:rFonts w:ascii="仿宋_GB2312" w:hAnsi="Times New Roman" w:eastAsia="仿宋_GB2312" w:cs="Times New Roman"/>
          <w:b w:val="0"/>
          <w:bCs/>
          <w:color w:val="000000" w:themeColor="text1"/>
          <w:sz w:val="32"/>
          <w:szCs w:val="32"/>
          <w14:textFill>
            <w14:solidFill>
              <w14:schemeClr w14:val="tx1"/>
            </w14:solidFill>
          </w14:textFill>
        </w:rPr>
        <w:t>，我</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单位</w:t>
      </w:r>
      <w:r>
        <w:rPr>
          <w:rFonts w:ascii="仿宋_GB2312" w:hAnsi="Times New Roman" w:eastAsia="仿宋_GB2312" w:cs="Times New Roman"/>
          <w:b w:val="0"/>
          <w:bCs/>
          <w:color w:val="000000" w:themeColor="text1"/>
          <w:sz w:val="32"/>
          <w:szCs w:val="32"/>
          <w14:textFill>
            <w14:solidFill>
              <w14:schemeClr w14:val="tx1"/>
            </w14:solidFill>
          </w14:textFill>
        </w:rPr>
        <w:t>无</w:t>
      </w:r>
      <w:r>
        <w:rPr>
          <w:rFonts w:hint="eastAsia" w:ascii="仿宋_GB2312" w:hAnsi="Times New Roman" w:eastAsia="仿宋_GB2312" w:cs="Times New Roman"/>
          <w:b w:val="0"/>
          <w:bCs/>
          <w:color w:val="000000" w:themeColor="text1"/>
          <w:sz w:val="32"/>
          <w:szCs w:val="32"/>
          <w14:textFill>
            <w14:solidFill>
              <w14:schemeClr w14:val="tx1"/>
            </w14:solidFill>
          </w14:textFill>
        </w:rPr>
        <w:t>政府采购预算。</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val="0"/>
          <w:color w:val="000000" w:themeColor="text1"/>
          <w:sz w:val="32"/>
          <w:szCs w:val="32"/>
          <w14:textFill>
            <w14:solidFill>
              <w14:schemeClr w14:val="tx1"/>
            </w14:solidFill>
          </w14:textFill>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水务局水利工程管理处</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725.65</w:t>
      </w:r>
      <w:r>
        <w:rPr>
          <w:rFonts w:hint="eastAsia" w:ascii="仿宋_GB2312" w:hAnsi="黑体" w:eastAsia="仿宋_GB2312" w:cs="Times New Roman"/>
          <w:sz w:val="32"/>
          <w:szCs w:val="32"/>
        </w:rPr>
        <w:t>万元（详见下表）</w:t>
      </w:r>
      <w:r>
        <w:rPr>
          <w:rFonts w:hint="eastAsia" w:ascii="仿宋_GB2312" w:hAnsi="黑体" w:eastAsia="仿宋_GB2312" w:cs="Times New Roman"/>
          <w:b w:val="0"/>
          <w:bCs w:val="0"/>
          <w:sz w:val="32"/>
          <w:szCs w:val="32"/>
        </w:rPr>
        <w:t>。</w:t>
      </w:r>
      <w:r>
        <w:rPr>
          <w:rFonts w:ascii="仿宋_GB2312" w:hAnsi="黑体" w:eastAsia="仿宋_GB2312" w:cs="Times New Roman"/>
          <w:b w:val="0"/>
          <w:bCs w:val="0"/>
          <w:color w:val="000000" w:themeColor="text1"/>
          <w:sz w:val="32"/>
          <w:szCs w:val="32"/>
          <w14:textFill>
            <w14:solidFill>
              <w14:schemeClr w14:val="tx1"/>
            </w14:solidFill>
          </w14:textFill>
        </w:rPr>
        <w:t>202</w:t>
      </w:r>
      <w:r>
        <w:rPr>
          <w:rFonts w:hint="eastAsia" w:ascii="仿宋_GB2312" w:hAnsi="黑体" w:eastAsia="仿宋_GB2312" w:cs="Times New Roman"/>
          <w:b w:val="0"/>
          <w:bCs w:val="0"/>
          <w:color w:val="000000" w:themeColor="text1"/>
          <w:sz w:val="32"/>
          <w:szCs w:val="32"/>
          <w:lang w:val="en-US" w:eastAsia="zh-CN"/>
          <w14:textFill>
            <w14:solidFill>
              <w14:schemeClr w14:val="tx1"/>
            </w14:solidFill>
          </w14:textFill>
        </w:rPr>
        <w:t>1</w:t>
      </w:r>
      <w:r>
        <w:rPr>
          <w:rFonts w:hint="eastAsia" w:ascii="仿宋_GB2312" w:hAnsi="黑体" w:eastAsia="仿宋_GB2312" w:cs="Times New Roman"/>
          <w:b w:val="0"/>
          <w:bCs w:val="0"/>
          <w:color w:val="000000" w:themeColor="text1"/>
          <w:sz w:val="32"/>
          <w:szCs w:val="32"/>
          <w14:textFill>
            <w14:solidFill>
              <w14:schemeClr w14:val="tx1"/>
            </w14:solidFill>
          </w14:textFill>
        </w:rPr>
        <w:t>年</w:t>
      </w:r>
      <w:r>
        <w:rPr>
          <w:rFonts w:ascii="仿宋_GB2312" w:hAnsi="黑体" w:eastAsia="仿宋_GB2312" w:cs="Times New Roman"/>
          <w:b w:val="0"/>
          <w:bCs w:val="0"/>
          <w:color w:val="000000" w:themeColor="text1"/>
          <w:sz w:val="32"/>
          <w:szCs w:val="32"/>
          <w14:textFill>
            <w14:solidFill>
              <w14:schemeClr w14:val="tx1"/>
            </w14:solidFill>
          </w14:textFill>
        </w:rPr>
        <w:t>，我</w:t>
      </w:r>
      <w:r>
        <w:rPr>
          <w:rFonts w:hint="eastAsia" w:ascii="仿宋_GB2312" w:hAnsi="黑体" w:eastAsia="仿宋_GB2312" w:cs="Times New Roman"/>
          <w:b w:val="0"/>
          <w:bCs w:val="0"/>
          <w:color w:val="000000" w:themeColor="text1"/>
          <w:sz w:val="32"/>
          <w:szCs w:val="32"/>
          <w:lang w:val="en-US" w:eastAsia="zh-CN"/>
          <w14:textFill>
            <w14:solidFill>
              <w14:schemeClr w14:val="tx1"/>
            </w14:solidFill>
          </w14:textFill>
        </w:rPr>
        <w:t>单位</w:t>
      </w:r>
      <w:r>
        <w:rPr>
          <w:rFonts w:ascii="仿宋_GB2312" w:hAnsi="黑体" w:eastAsia="仿宋_GB2312" w:cs="Times New Roman"/>
          <w:b w:val="0"/>
          <w:bCs w:val="0"/>
          <w:color w:val="000000" w:themeColor="text1"/>
          <w:sz w:val="32"/>
          <w:szCs w:val="32"/>
          <w14:textFill>
            <w14:solidFill>
              <w14:schemeClr w14:val="tx1"/>
            </w14:solidFill>
          </w14:textFill>
        </w:rPr>
        <w:t>无新增固定资产计划</w:t>
      </w:r>
      <w:r>
        <w:rPr>
          <w:rFonts w:hint="eastAsia" w:ascii="仿宋_GB2312" w:hAnsi="黑体" w:eastAsia="仿宋_GB2312" w:cs="Times New Roman"/>
          <w:b w:val="0"/>
          <w:bCs w:val="0"/>
          <w:color w:val="000000" w:themeColor="text1"/>
          <w:sz w:val="32"/>
          <w:szCs w:val="32"/>
          <w14:textFill>
            <w14:solidFill>
              <w14:schemeClr w14:val="tx1"/>
            </w14:solidFill>
          </w14:textFill>
        </w:rPr>
        <w:t>。</w:t>
      </w:r>
    </w:p>
    <w:tbl>
      <w:tblPr>
        <w:tblStyle w:val="4"/>
        <w:tblW w:w="13482" w:type="dxa"/>
        <w:tblInd w:w="93" w:type="dxa"/>
        <w:tblLayout w:type="fixed"/>
        <w:tblCellMar>
          <w:top w:w="0" w:type="dxa"/>
          <w:left w:w="108" w:type="dxa"/>
          <w:bottom w:w="0" w:type="dxa"/>
          <w:right w:w="108" w:type="dxa"/>
        </w:tblCellMar>
      </w:tblPr>
      <w:tblGrid>
        <w:gridCol w:w="5224"/>
        <w:gridCol w:w="3548"/>
        <w:gridCol w:w="4710"/>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highlight w:val="none"/>
                <w:lang w:val="en-US" w:eastAsia="zh-CN"/>
              </w:rPr>
              <w:t>水务局水利工程管理处</w:t>
            </w:r>
            <w:r>
              <w:rPr>
                <w:rFonts w:hint="eastAsia" w:ascii="宋体" w:hAnsi="宋体" w:eastAsia="宋体" w:cs="宋体"/>
                <w:b/>
                <w:bCs/>
                <w:kern w:val="0"/>
                <w:sz w:val="32"/>
                <w:szCs w:val="32"/>
                <w:lang w:val="en-US" w:eastAsia="zh-CN"/>
              </w:rPr>
              <w:t>单位</w:t>
            </w: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772"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709003</w:t>
            </w:r>
            <w:r>
              <w:rPr>
                <w:rFonts w:hint="eastAsia" w:ascii="宋体" w:hAnsi="宋体" w:eastAsia="宋体" w:cs="宋体"/>
                <w:kern w:val="0"/>
                <w:sz w:val="22"/>
                <w:highlight w:val="none"/>
              </w:rPr>
              <w:t>（</w:t>
            </w:r>
            <w:r>
              <w:rPr>
                <w:rFonts w:hint="eastAsia" w:ascii="宋体" w:hAnsi="宋体" w:eastAsia="宋体" w:cs="宋体"/>
                <w:kern w:val="0"/>
                <w:sz w:val="22"/>
                <w:highlight w:val="none"/>
                <w:lang w:val="en-US" w:eastAsia="zh-CN"/>
              </w:rPr>
              <w:t>单位</w:t>
            </w:r>
            <w:r>
              <w:rPr>
                <w:rFonts w:ascii="宋体" w:hAnsi="宋体" w:eastAsia="宋体" w:cs="宋体"/>
                <w:kern w:val="0"/>
                <w:sz w:val="22"/>
                <w:highlight w:val="none"/>
              </w:rPr>
              <w:t>编码</w:t>
            </w:r>
            <w:r>
              <w:rPr>
                <w:rFonts w:hint="eastAsia" w:ascii="宋体" w:hAnsi="宋体" w:eastAsia="宋体" w:cs="宋体"/>
                <w:kern w:val="0"/>
                <w:sz w:val="22"/>
                <w:highlight w:val="none"/>
              </w:rPr>
              <w:t>）霸州市</w:t>
            </w:r>
            <w:r>
              <w:rPr>
                <w:rFonts w:hint="eastAsia" w:ascii="宋体" w:hAnsi="宋体" w:eastAsia="宋体" w:cs="宋体"/>
                <w:kern w:val="0"/>
                <w:sz w:val="22"/>
                <w:highlight w:val="none"/>
                <w:lang w:val="en-US" w:eastAsia="zh-CN"/>
              </w:rPr>
              <w:t>水务局水利工程管理处</w:t>
            </w:r>
            <w:r>
              <w:rPr>
                <w:rFonts w:hint="eastAsia" w:ascii="宋体" w:hAnsi="宋体" w:eastAsia="宋体" w:cs="宋体"/>
                <w:kern w:val="0"/>
                <w:sz w:val="22"/>
                <w:highlight w:val="none"/>
              </w:rPr>
              <w:t>（</w:t>
            </w:r>
            <w:r>
              <w:rPr>
                <w:rFonts w:hint="eastAsia" w:ascii="宋体" w:hAnsi="宋体" w:eastAsia="宋体" w:cs="宋体"/>
                <w:kern w:val="0"/>
                <w:sz w:val="22"/>
                <w:highlight w:val="none"/>
                <w:lang w:val="en-US" w:eastAsia="zh-CN"/>
              </w:rPr>
              <w:t>单位</w:t>
            </w:r>
            <w:r>
              <w:rPr>
                <w:rFonts w:ascii="宋体" w:hAnsi="宋体" w:eastAsia="宋体" w:cs="宋体"/>
                <w:kern w:val="0"/>
                <w:sz w:val="22"/>
                <w:highlight w:val="none"/>
              </w:rPr>
              <w:t>名称</w:t>
            </w:r>
            <w:r>
              <w:rPr>
                <w:rFonts w:hint="eastAsia" w:ascii="宋体" w:hAnsi="宋体" w:eastAsia="宋体" w:cs="宋体"/>
                <w:kern w:val="0"/>
                <w:sz w:val="22"/>
                <w:highlight w:val="none"/>
              </w:rPr>
              <w:t>）</w:t>
            </w:r>
          </w:p>
        </w:tc>
        <w:tc>
          <w:tcPr>
            <w:tcW w:w="4710"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5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47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725.65</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2078</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334.86</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390.79</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w:t>
      </w:r>
      <w:r>
        <w:rPr>
          <w:rFonts w:hint="eastAsia" w:ascii="仿宋_GB2312" w:hAnsi="黑体" w:eastAsia="仿宋_GB2312" w:cs="Times New Roman"/>
          <w:sz w:val="32"/>
          <w:szCs w:val="32"/>
          <w:lang w:val="en-US" w:eastAsia="zh-CN"/>
        </w:rPr>
        <w:t>预算单位</w:t>
      </w:r>
      <w:r>
        <w:rPr>
          <w:rFonts w:hint="eastAsia" w:ascii="仿宋_GB2312" w:hAnsi="黑体" w:eastAsia="仿宋_GB2312" w:cs="Times New Roman"/>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w:t>
      </w:r>
      <w:r>
        <w:rPr>
          <w:rFonts w:hint="eastAsia" w:ascii="仿宋_GB2312" w:hAnsi="黑体" w:eastAsia="仿宋_GB2312" w:cs="Times New Roman"/>
          <w:sz w:val="32"/>
          <w:szCs w:val="32"/>
          <w:highlight w:val="none"/>
        </w:rPr>
        <w:t>、机关运行费：</w:t>
      </w:r>
      <w:r>
        <w:rPr>
          <w:rFonts w:hint="eastAsia" w:ascii="仿宋_GB2312" w:hAnsi="黑体" w:eastAsia="仿宋_GB2312" w:cs="Times New Roman"/>
          <w:sz w:val="32"/>
          <w:szCs w:val="32"/>
          <w:lang w:val="en-US" w:eastAsia="zh-CN"/>
        </w:rPr>
        <w:t>是指各单位的公用经费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p>
      <w:pPr>
        <w:numPr>
          <w:ilvl w:val="0"/>
          <w:numId w:val="0"/>
        </w:numPr>
        <w:ind w:firstLine="420" w:firstLineChars="0"/>
        <w:rPr>
          <w:rFonts w:hint="eastAsia" w:ascii="华文仿宋" w:hAnsi="华文仿宋" w:eastAsia="华文仿宋" w:cs="华文仿宋"/>
          <w:i w:val="0"/>
          <w:color w:val="000000"/>
          <w:kern w:val="0"/>
          <w:sz w:val="24"/>
          <w:szCs w:val="24"/>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0521F"/>
    <w:multiLevelType w:val="singleLevel"/>
    <w:tmpl w:val="AF50521F"/>
    <w:lvl w:ilvl="0" w:tentative="0">
      <w:start w:val="1"/>
      <w:numFmt w:val="decimal"/>
      <w:lvlText w:val="%1."/>
      <w:lvlJc w:val="left"/>
      <w:pPr>
        <w:tabs>
          <w:tab w:val="left" w:pos="312"/>
        </w:tabs>
      </w:pPr>
    </w:lvl>
  </w:abstractNum>
  <w:abstractNum w:abstractNumId="1">
    <w:nsid w:val="C247962B"/>
    <w:multiLevelType w:val="singleLevel"/>
    <w:tmpl w:val="C247962B"/>
    <w:lvl w:ilvl="0" w:tentative="0">
      <w:start w:val="1"/>
      <w:numFmt w:val="decimal"/>
      <w:lvlText w:val="%1."/>
      <w:lvlJc w:val="left"/>
      <w:pPr>
        <w:tabs>
          <w:tab w:val="left" w:pos="312"/>
        </w:tabs>
      </w:pPr>
    </w:lvl>
  </w:abstractNum>
  <w:abstractNum w:abstractNumId="2">
    <w:nsid w:val="C2F770A0"/>
    <w:multiLevelType w:val="singleLevel"/>
    <w:tmpl w:val="C2F770A0"/>
    <w:lvl w:ilvl="0" w:tentative="0">
      <w:start w:val="1"/>
      <w:numFmt w:val="chineseCounting"/>
      <w:suff w:val="space"/>
      <w:lvlText w:val="第%1部分"/>
      <w:lvlJc w:val="left"/>
      <w:rPr>
        <w:rFonts w:hint="eastAsia"/>
      </w:rPr>
    </w:lvl>
  </w:abstractNum>
  <w:abstractNum w:abstractNumId="3">
    <w:nsid w:val="CFDC2180"/>
    <w:multiLevelType w:val="singleLevel"/>
    <w:tmpl w:val="CFDC2180"/>
    <w:lvl w:ilvl="0" w:tentative="0">
      <w:start w:val="5"/>
      <w:numFmt w:val="chineseCounting"/>
      <w:suff w:val="nothing"/>
      <w:lvlText w:val="%1、"/>
      <w:lvlJc w:val="left"/>
      <w:rPr>
        <w:rFonts w:hint="eastAsia"/>
      </w:rPr>
    </w:lvl>
  </w:abstractNum>
  <w:abstractNum w:abstractNumId="4">
    <w:nsid w:val="E23167B0"/>
    <w:multiLevelType w:val="singleLevel"/>
    <w:tmpl w:val="E23167B0"/>
    <w:lvl w:ilvl="0" w:tentative="0">
      <w:start w:val="5"/>
      <w:numFmt w:val="chineseCounting"/>
      <w:suff w:val="nothing"/>
      <w:lvlText w:val="%1、"/>
      <w:lvlJc w:val="left"/>
      <w:rPr>
        <w:rFonts w:hint="eastAsia"/>
      </w:rPr>
    </w:lvl>
  </w:abstractNum>
  <w:abstractNum w:abstractNumId="5">
    <w:nsid w:val="E67C65EB"/>
    <w:multiLevelType w:val="singleLevel"/>
    <w:tmpl w:val="E67C65EB"/>
    <w:lvl w:ilvl="0" w:tentative="0">
      <w:start w:val="1"/>
      <w:numFmt w:val="chineseCounting"/>
      <w:suff w:val="nothing"/>
      <w:lvlText w:val="%1、"/>
      <w:lvlJc w:val="left"/>
      <w:rPr>
        <w:rFonts w:hint="eastAsia"/>
      </w:rPr>
    </w:lvl>
  </w:abstractNum>
  <w:abstractNum w:abstractNumId="6">
    <w:nsid w:val="0000000B"/>
    <w:multiLevelType w:val="singleLevel"/>
    <w:tmpl w:val="0000000B"/>
    <w:lvl w:ilvl="0" w:tentative="0">
      <w:start w:val="4"/>
      <w:numFmt w:val="chineseCounting"/>
      <w:suff w:val="nothing"/>
      <w:lvlText w:val="（%1）"/>
      <w:lvlJc w:val="left"/>
      <w:rPr>
        <w:rFonts w:hint="eastAsia"/>
      </w:rPr>
    </w:lvl>
  </w:abstractNum>
  <w:abstractNum w:abstractNumId="7">
    <w:nsid w:val="09E3AF44"/>
    <w:multiLevelType w:val="singleLevel"/>
    <w:tmpl w:val="09E3AF44"/>
    <w:lvl w:ilvl="0" w:tentative="0">
      <w:start w:val="1"/>
      <w:numFmt w:val="chineseCounting"/>
      <w:suff w:val="nothing"/>
      <w:lvlText w:val="%1、"/>
      <w:lvlJc w:val="left"/>
      <w:rPr>
        <w:rFonts w:hint="eastAsia"/>
      </w:rPr>
    </w:lvl>
  </w:abstractNum>
  <w:abstractNum w:abstractNumId="8">
    <w:nsid w:val="1B0F45D0"/>
    <w:multiLevelType w:val="singleLevel"/>
    <w:tmpl w:val="1B0F45D0"/>
    <w:lvl w:ilvl="0" w:tentative="0">
      <w:start w:val="1"/>
      <w:numFmt w:val="decimal"/>
      <w:lvlText w:val="%1."/>
      <w:lvlJc w:val="left"/>
      <w:pPr>
        <w:tabs>
          <w:tab w:val="left" w:pos="312"/>
        </w:tabs>
      </w:pPr>
    </w:lvl>
  </w:abstractNum>
  <w:abstractNum w:abstractNumId="9">
    <w:nsid w:val="1D6BEC26"/>
    <w:multiLevelType w:val="singleLevel"/>
    <w:tmpl w:val="1D6BEC26"/>
    <w:lvl w:ilvl="0" w:tentative="0">
      <w:start w:val="1"/>
      <w:numFmt w:val="decimal"/>
      <w:lvlText w:val="%1."/>
      <w:lvlJc w:val="left"/>
      <w:pPr>
        <w:tabs>
          <w:tab w:val="left" w:pos="312"/>
        </w:tabs>
      </w:pPr>
    </w:lvl>
  </w:abstractNum>
  <w:abstractNum w:abstractNumId="10">
    <w:nsid w:val="4817EB38"/>
    <w:multiLevelType w:val="singleLevel"/>
    <w:tmpl w:val="4817EB38"/>
    <w:lvl w:ilvl="0" w:tentative="0">
      <w:start w:val="1"/>
      <w:numFmt w:val="decimal"/>
      <w:lvlText w:val="%1."/>
      <w:lvlJc w:val="left"/>
      <w:pPr>
        <w:tabs>
          <w:tab w:val="left" w:pos="312"/>
        </w:tabs>
      </w:pPr>
    </w:lvl>
  </w:abstractNum>
  <w:abstractNum w:abstractNumId="11">
    <w:nsid w:val="505D9DF1"/>
    <w:multiLevelType w:val="singleLevel"/>
    <w:tmpl w:val="505D9DF1"/>
    <w:lvl w:ilvl="0" w:tentative="0">
      <w:start w:val="1"/>
      <w:numFmt w:val="decimal"/>
      <w:lvlText w:val="%1."/>
      <w:lvlJc w:val="left"/>
      <w:pPr>
        <w:tabs>
          <w:tab w:val="left" w:pos="312"/>
        </w:tabs>
      </w:pPr>
    </w:lvl>
  </w:abstractNum>
  <w:abstractNum w:abstractNumId="12">
    <w:nsid w:val="5FAB4B08"/>
    <w:multiLevelType w:val="singleLevel"/>
    <w:tmpl w:val="5FAB4B08"/>
    <w:lvl w:ilvl="0" w:tentative="0">
      <w:start w:val="15"/>
      <w:numFmt w:val="decimal"/>
      <w:suff w:val="nothing"/>
      <w:lvlText w:val="%1、"/>
      <w:lvlJc w:val="left"/>
    </w:lvl>
  </w:abstractNum>
  <w:num w:numId="1">
    <w:abstractNumId w:val="7"/>
  </w:num>
  <w:num w:numId="2">
    <w:abstractNumId w:val="5"/>
  </w:num>
  <w:num w:numId="3">
    <w:abstractNumId w:val="3"/>
  </w:num>
  <w:num w:numId="4">
    <w:abstractNumId w:val="2"/>
  </w:num>
  <w:num w:numId="5">
    <w:abstractNumId w:val="6"/>
  </w:num>
  <w:num w:numId="6">
    <w:abstractNumId w:val="9"/>
  </w:num>
  <w:num w:numId="7">
    <w:abstractNumId w:val="12"/>
  </w:num>
  <w:num w:numId="8">
    <w:abstractNumId w:val="8"/>
  </w:num>
  <w:num w:numId="9">
    <w:abstractNumId w:val="10"/>
  </w:num>
  <w:num w:numId="10">
    <w:abstractNumId w:val="1"/>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jYwMDk0ZDJkY2U3Y2Y3NWE5ZDM0NzFiZTRmMjMifQ=="/>
  </w:docVars>
  <w:rsids>
    <w:rsidRoot w:val="30CB0AF2"/>
    <w:rsid w:val="0E94527E"/>
    <w:rsid w:val="163A2136"/>
    <w:rsid w:val="193A33D3"/>
    <w:rsid w:val="253A30B7"/>
    <w:rsid w:val="269C110D"/>
    <w:rsid w:val="2D26475A"/>
    <w:rsid w:val="309E171A"/>
    <w:rsid w:val="30CB0AF2"/>
    <w:rsid w:val="32DF58B4"/>
    <w:rsid w:val="350E5B51"/>
    <w:rsid w:val="38A24436"/>
    <w:rsid w:val="3A8338CF"/>
    <w:rsid w:val="3BD6619D"/>
    <w:rsid w:val="3DF71071"/>
    <w:rsid w:val="3F666197"/>
    <w:rsid w:val="40EC50CB"/>
    <w:rsid w:val="4819523B"/>
    <w:rsid w:val="487409F4"/>
    <w:rsid w:val="50185362"/>
    <w:rsid w:val="507625E2"/>
    <w:rsid w:val="50780F78"/>
    <w:rsid w:val="546D310C"/>
    <w:rsid w:val="5C73176E"/>
    <w:rsid w:val="6132139D"/>
    <w:rsid w:val="6A7915F2"/>
    <w:rsid w:val="6B4D2EA0"/>
    <w:rsid w:val="711D0AD0"/>
    <w:rsid w:val="7426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nhideWhenUsed/>
    <w:uiPriority w:val="99"/>
  </w:style>
  <w:style w:type="character" w:customStyle="1" w:styleId="7">
    <w:name w:val="font11"/>
    <w:basedOn w:val="5"/>
    <w:qFormat/>
    <w:uiPriority w:val="0"/>
    <w:rPr>
      <w:rFonts w:hint="eastAsia" w:ascii="宋体" w:hAnsi="宋体" w:eastAsia="宋体" w:cs="宋体"/>
      <w:color w:val="000000"/>
      <w:sz w:val="21"/>
      <w:szCs w:val="21"/>
      <w:u w:val="none"/>
    </w:rPr>
  </w:style>
  <w:style w:type="character" w:customStyle="1" w:styleId="8">
    <w:name w:val="font01"/>
    <w:basedOn w:val="5"/>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27227</Words>
  <Characters>31801</Characters>
  <Lines>0</Lines>
  <Paragraphs>0</Paragraphs>
  <TotalTime>86</TotalTime>
  <ScaleCrop>false</ScaleCrop>
  <LinksUpToDate>false</LinksUpToDate>
  <CharactersWithSpaces>33385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2021-03-24T01:04:00Z</dcterms:created>
  <dc:creator>china</dc:creator>
  <cp:lastModifiedBy>雄</cp:lastModifiedBy>
  <dcterms:modified xsi:type="dcterms:W3CDTF">2022-09-07T06:56:33Z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83CF847520904EC09DED342D2463D17E</vt:lpwstr>
  </property>
</Properties>
</file>